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0"/>
      </w:pPr>
      <w:r>
        <w:rPr>
          <w:b/>
          <w:bCs/>
          <w:sz w:val="48"/>
          <w:szCs w:val="48"/>
        </w:rPr>
        <w:t xml:space="preserve">CHCCOM005</w:t>
      </w:r>
    </w:p>
    <w:p>
      <w:pPr>
        <w:spacing w:after="400"/>
      </w:pPr>
      <w:r>
        <w:rPr>
          <w:sz w:val="32"/>
          <w:szCs w:val="32"/>
        </w:rPr>
        <w:t xml:space="preserve">Communicate and work in health or community services</w:t>
      </w:r>
    </w:p>
    <w:p>
      <w:pPr>
        <w:spacing w:after="600"/>
      </w:pPr>
      <w:r>
        <w:rPr>
          <w:color w:val="444444"/>
          <w:sz w:val="24"/>
          <w:szCs w:val="24"/>
        </w:rPr>
        <w:t xml:space="preserve">Learner Guide</w:t>
      </w:r>
    </w:p>
    <w:p>
      <w:pPr>
        <w:pBdr>
          <w:top w:val="single" w:color="DDDDDD" w:sz="6" w:space="12"/>
        </w:pBdr>
        <w:spacing w:after="200"/>
      </w:pPr>
      <w:r>
        <w:rPr>
          <w:i/>
          <w:iCs/>
          <w:color w:val="666666"/>
          <w:sz w:val="18"/>
          <w:szCs w:val="18"/>
        </w:rPr>
        <w:t xml:space="preserve">Sample 'before' file — a typical Word-based learner guide.</w:t>
      </w:r>
    </w:p>
    <w:p>
      <w:r>
        <w:rPr>
          <w:color w:val="888888"/>
          <w:sz w:val="16"/>
          <w:szCs w:val="16"/>
        </w:rPr>
        <w:t xml:space="preserve">Unit code and title from CHCCOM005 Communicate and work in health or community services, sourced from training.gov.au. © Commonwealth of Australia, licensed under a Creative Commons Attribution 4.0 International Licence (creativecommons.org/licenses/by/4.0). The learning content in this document is original work by CourseConverter and does not reproduce training package material. This is a demonstration resource. It is not endorsed by, or connected with, the Australian Government, the Department of Employment and Workplace Relations, any Skills Service Organisation, or any regulator, and it is not a compliant training or assessment product.</w:t>
      </w:r>
    </w:p>
    <w:p>
      <w:pPr>
        <w:pStyle w:val="Heading1"/>
        <w:spacing w:after="200" w:before="0"/>
      </w:pPr>
      <w:r>
        <w:t xml:space="preserve">Module 1: Communicating effectively with the people you support</w:t>
      </w:r>
    </w:p>
    <w:p>
      <w:pPr>
        <w:pStyle w:val="Heading2"/>
        <w:spacing w:after="140" w:before="280"/>
      </w:pPr>
      <w:r>
        <w:t xml:space="preserve">Introduction</w:t>
      </w:r>
    </w:p>
    <w:p>
      <w:pPr>
        <w:spacing w:after="160"/>
      </w:pPr>
      <w:r>
        <w:t xml:space="preserve">Communication is the foundation of work in health and community services. Every task you perform involves communicating with someone — a client, a resident, a participant, a family member or a colleague. This module covers the core communication skills you will use in your day-to-day role.</w:t>
      </w:r>
    </w:p>
    <w:p>
      <w:pPr>
        <w:spacing w:after="160"/>
      </w:pPr>
      <w:r>
        <w:t xml:space="preserve">Good communication is not simply about talking. It involves choosing the right words, using appropriate body language, listening carefully, and checking that the other person has understood what you have said. It also involves knowing what information you can share and what information must remain confidential.</w:t>
      </w:r>
    </w:p>
    <w:p>
      <w:pPr>
        <w:pStyle w:val="Heading2"/>
        <w:spacing w:after="140" w:before="280"/>
      </w:pPr>
      <w:r>
        <w:t xml:space="preserve">Verbal and non-verbal communication</w:t>
      </w:r>
    </w:p>
    <w:p>
      <w:pPr>
        <w:spacing w:after="160"/>
      </w:pPr>
      <w:r>
        <w:t xml:space="preserve">Verbal communication is the words you use. Non-verbal communication is everything else — your facial expression, your posture, your tone of voice, your gestures and the distance you stand from a person.</w:t>
      </w:r>
    </w:p>
    <w:p>
      <w:pPr>
        <w:spacing w:after="160"/>
      </w:pPr>
      <w:r>
        <w:t xml:space="preserve">Research in the field of communication has long recognised that people take a great deal of meaning from non-verbal signals. If your words say one thing and your body says another, most people will believe your body.</w:t>
      </w:r>
    </w:p>
    <w:p>
      <w:pPr>
        <w:spacing w:after="160"/>
      </w:pPr>
      <w:r>
        <w:t xml:space="preserve">Some key points about verbal communication:</w:t>
      </w:r>
    </w:p>
    <w:p>
      <w:pPr>
        <w:pStyle w:val="ListParagraph"/>
        <w:numPr>
          <w:ilvl w:val="0"/>
          <w:numId w:val="1"/>
        </w:numPr>
        <w:spacing w:after="80"/>
      </w:pPr>
      <w:r>
        <w:t xml:space="preserve">Use plain English and avoid jargon</w:t>
      </w:r>
    </w:p>
    <w:p>
      <w:pPr>
        <w:pStyle w:val="ListParagraph"/>
        <w:numPr>
          <w:ilvl w:val="0"/>
          <w:numId w:val="1"/>
        </w:numPr>
        <w:spacing w:after="80"/>
      </w:pPr>
      <w:r>
        <w:t xml:space="preserve">Keep sentences short</w:t>
      </w:r>
    </w:p>
    <w:p>
      <w:pPr>
        <w:pStyle w:val="ListParagraph"/>
        <w:numPr>
          <w:ilvl w:val="0"/>
          <w:numId w:val="1"/>
        </w:numPr>
        <w:spacing w:after="80"/>
      </w:pPr>
      <w:r>
        <w:t xml:space="preserve">Speak at a moderate pace</w:t>
      </w:r>
    </w:p>
    <w:p>
      <w:pPr>
        <w:pStyle w:val="ListParagraph"/>
        <w:numPr>
          <w:ilvl w:val="0"/>
          <w:numId w:val="1"/>
        </w:numPr>
        <w:spacing w:after="80"/>
      </w:pPr>
      <w:r>
        <w:t xml:space="preserve">Use the person's preferred name</w:t>
      </w:r>
    </w:p>
    <w:p>
      <w:pPr>
        <w:pStyle w:val="ListParagraph"/>
        <w:numPr>
          <w:ilvl w:val="0"/>
          <w:numId w:val="1"/>
        </w:numPr>
        <w:spacing w:after="80"/>
      </w:pPr>
      <w:r>
        <w:t xml:space="preserve">Avoid slang and abbreviations that the person may not know</w:t>
      </w:r>
    </w:p>
    <w:p>
      <w:pPr>
        <w:spacing w:after="160"/>
      </w:pPr>
      <w:r>
        <w:t xml:space="preserve">Some key points about non-verbal communication:</w:t>
      </w:r>
    </w:p>
    <w:p>
      <w:pPr>
        <w:pStyle w:val="ListParagraph"/>
        <w:numPr>
          <w:ilvl w:val="0"/>
          <w:numId w:val="1"/>
        </w:numPr>
        <w:spacing w:after="80"/>
      </w:pPr>
      <w:r>
        <w:t xml:space="preserve">Position yourself at the person's eye level where possible</w:t>
      </w:r>
    </w:p>
    <w:p>
      <w:pPr>
        <w:pStyle w:val="ListParagraph"/>
        <w:numPr>
          <w:ilvl w:val="0"/>
          <w:numId w:val="1"/>
        </w:numPr>
        <w:spacing w:after="80"/>
      </w:pPr>
      <w:r>
        <w:t xml:space="preserve">Maintain an open posture</w:t>
      </w:r>
    </w:p>
    <w:p>
      <w:pPr>
        <w:pStyle w:val="ListParagraph"/>
        <w:numPr>
          <w:ilvl w:val="0"/>
          <w:numId w:val="1"/>
        </w:numPr>
        <w:spacing w:after="80"/>
      </w:pPr>
      <w:r>
        <w:t xml:space="preserve">Be aware of cultural differences in eye contact</w:t>
      </w:r>
    </w:p>
    <w:p>
      <w:pPr>
        <w:pStyle w:val="ListParagraph"/>
        <w:numPr>
          <w:ilvl w:val="0"/>
          <w:numId w:val="1"/>
        </w:numPr>
        <w:spacing w:after="80"/>
      </w:pPr>
      <w:r>
        <w:t xml:space="preserve">Respect personal space</w:t>
      </w:r>
    </w:p>
    <w:p>
      <w:pPr>
        <w:pStyle w:val="ListParagraph"/>
        <w:numPr>
          <w:ilvl w:val="0"/>
          <w:numId w:val="1"/>
        </w:numPr>
        <w:spacing w:after="80"/>
      </w:pPr>
      <w:r>
        <w:t xml:space="preserve">Be aware of your facial expression</w:t>
      </w:r>
    </w:p>
    <w:p>
      <w:pPr>
        <w:pStyle w:val="Heading2"/>
        <w:spacing w:after="140" w:before="280"/>
      </w:pPr>
      <w:r>
        <w:t xml:space="preserve">Providing clear information about services</w:t>
      </w:r>
    </w:p>
    <w:p>
      <w:pPr>
        <w:spacing w:after="160"/>
      </w:pPr>
      <w:r>
        <w:t xml:space="preserve">People who use health and community services often do not understand what is available to them. Part of your role is to provide clear, accurate information about the services your organisation offers.</w:t>
      </w:r>
    </w:p>
    <w:p>
      <w:pPr>
        <w:spacing w:after="160"/>
      </w:pPr>
      <w:r>
        <w:t xml:space="preserve">When explaining a service, you should cover what the service is, who provides it, when and where it happens, what it costs (if anything), and what the person needs to do next. You should avoid using organisational acronyms without explaining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EFEFEF" w:val="clear"/>
            <w:tcMar>
              <w:top w:type="dxa" w:w="80"/>
              <w:left w:type="dxa" w:w="120"/>
              <w:bottom w:type="dxa" w:w="80"/>
              <w:right w:type="dxa" w:w="120"/>
            </w:tcMar>
          </w:tcPr>
          <w:p>
            <w:r>
              <w:rPr>
                <w:b/>
                <w:bCs/>
              </w:rPr>
              <w:t xml:space="preserve">Instead of saying</w:t>
            </w:r>
          </w:p>
        </w:tc>
        <w:tc>
          <w:tcPr>
            <w:tcW w:type="dxa" w:w="4680"/>
            <w:shd w:fill="EFEFEF" w:val="clear"/>
            <w:tcMar>
              <w:top w:type="dxa" w:w="80"/>
              <w:left w:type="dxa" w:w="120"/>
              <w:bottom w:type="dxa" w:w="80"/>
              <w:right w:type="dxa" w:w="120"/>
            </w:tcMar>
          </w:tcPr>
          <w:p>
            <w:r>
              <w:rPr>
                <w:b/>
                <w:bCs/>
              </w:rPr>
              <w:t xml:space="preserve">Say</w:t>
            </w:r>
          </w:p>
        </w:tc>
      </w:tr>
      <w:tr>
        <w:trPr>
          <w:tblHeader w:val="false"/>
        </w:trPr>
        <w:tc>
          <w:tcPr>
            <w:tcW w:type="dxa" w:w="4680"/>
            <w:tcMar>
              <w:top w:type="dxa" w:w="80"/>
              <w:left w:type="dxa" w:w="120"/>
              <w:bottom w:type="dxa" w:w="80"/>
              <w:right w:type="dxa" w:w="120"/>
            </w:tcMar>
          </w:tcPr>
          <w:p>
            <w:r>
              <w:t xml:space="preserve">We'll do an ACAT</w:t>
            </w:r>
          </w:p>
        </w:tc>
        <w:tc>
          <w:tcPr>
            <w:tcW w:type="dxa" w:w="4680"/>
            <w:tcMar>
              <w:top w:type="dxa" w:w="80"/>
              <w:left w:type="dxa" w:w="120"/>
              <w:bottom w:type="dxa" w:w="80"/>
              <w:right w:type="dxa" w:w="120"/>
            </w:tcMar>
          </w:tcPr>
          <w:p>
            <w:r>
              <w:t xml:space="preserve">An assessment team will visit to work out what support you need</w:t>
            </w:r>
          </w:p>
        </w:tc>
      </w:tr>
      <w:tr>
        <w:trPr>
          <w:tblHeader w:val="false"/>
        </w:trPr>
        <w:tc>
          <w:tcPr>
            <w:tcW w:type="dxa" w:w="4680"/>
            <w:tcMar>
              <w:top w:type="dxa" w:w="80"/>
              <w:left w:type="dxa" w:w="120"/>
              <w:bottom w:type="dxa" w:w="80"/>
              <w:right w:type="dxa" w:w="120"/>
            </w:tcMar>
          </w:tcPr>
          <w:p>
            <w:r>
              <w:t xml:space="preserve">Your NDIS plan has core supports</w:t>
            </w:r>
          </w:p>
        </w:tc>
        <w:tc>
          <w:tcPr>
            <w:tcW w:type="dxa" w:w="4680"/>
            <w:tcMar>
              <w:top w:type="dxa" w:w="80"/>
              <w:left w:type="dxa" w:w="120"/>
              <w:bottom w:type="dxa" w:w="80"/>
              <w:right w:type="dxa" w:w="120"/>
            </w:tcMar>
          </w:tcPr>
          <w:p>
            <w:r>
              <w:t xml:space="preserve">Part of your funding pays for everyday help like showering and shopping</w:t>
            </w:r>
          </w:p>
        </w:tc>
      </w:tr>
      <w:tr>
        <w:trPr>
          <w:tblHeader w:val="false"/>
        </w:trPr>
        <w:tc>
          <w:tcPr>
            <w:tcW w:type="dxa" w:w="4680"/>
            <w:tcMar>
              <w:top w:type="dxa" w:w="80"/>
              <w:left w:type="dxa" w:w="120"/>
              <w:bottom w:type="dxa" w:w="80"/>
              <w:right w:type="dxa" w:w="120"/>
            </w:tcMar>
          </w:tcPr>
          <w:p>
            <w:r>
              <w:t xml:space="preserve">I'll refer you to allied health</w:t>
            </w:r>
          </w:p>
        </w:tc>
        <w:tc>
          <w:tcPr>
            <w:tcW w:type="dxa" w:w="4680"/>
            <w:tcMar>
              <w:top w:type="dxa" w:w="80"/>
              <w:left w:type="dxa" w:w="120"/>
              <w:bottom w:type="dxa" w:w="80"/>
              <w:right w:type="dxa" w:w="120"/>
            </w:tcMar>
          </w:tcPr>
          <w:p>
            <w:r>
              <w:t xml:space="preserve">I'll arrange for a physiotherapist to see you</w:t>
            </w:r>
          </w:p>
        </w:tc>
      </w:tr>
    </w:tbl>
    <w:p>
      <w:pPr>
        <w:spacing w:after="160"/>
      </w:pPr>
    </w:p>
    <w:p>
      <w:pPr>
        <w:pStyle w:val="Heading2"/>
        <w:spacing w:after="140" w:before="280"/>
      </w:pPr>
      <w:r>
        <w:t xml:space="preserve">Confirming that the person has understood</w:t>
      </w:r>
    </w:p>
    <w:p>
      <w:pPr>
        <w:spacing w:after="160"/>
      </w:pPr>
      <w:r>
        <w:t xml:space="preserve">Never assume that because you have said something, the person has understood it. Many people will nod politely rather than admit they are confused.</w:t>
      </w:r>
    </w:p>
    <w:p>
      <w:pPr>
        <w:spacing w:after="160"/>
      </w:pPr>
      <w:r>
        <w:t xml:space="preserve">A useful technique is to ask the person to explain the information back to you in their own words. This is sometimes called the "teach-back" method. You might say, "I want to make sure I explained that clearly. Can you tell me what will happen tomorrow?"</w:t>
      </w:r>
    </w:p>
    <w:p>
      <w:pPr>
        <w:spacing w:after="160"/>
      </w:pPr>
      <w:r>
        <w:t xml:space="preserve">Other ways to check understanding include asking open questions, watching for non-verbal signs of confusion, and offering to write the information down.</w:t>
      </w:r>
    </w:p>
    <w:p>
      <w:pPr>
        <w:pStyle w:val="Heading2"/>
        <w:spacing w:after="140" w:before="280"/>
      </w:pPr>
      <w:r>
        <w:t xml:space="preserve">Active listening</w:t>
      </w:r>
    </w:p>
    <w:p>
      <w:pPr>
        <w:spacing w:after="160"/>
      </w:pPr>
      <w:r>
        <w:t xml:space="preserve">Active listening means giving your full attention to the person speaking and showing them that you are listening.</w:t>
      </w:r>
    </w:p>
    <w:p>
      <w:pPr>
        <w:spacing w:after="160"/>
      </w:pPr>
      <w:r>
        <w:t xml:space="preserve">Skills involved in active listening include:</w:t>
      </w:r>
    </w:p>
    <w:p>
      <w:pPr>
        <w:pStyle w:val="ListParagraph"/>
        <w:numPr>
          <w:ilvl w:val="0"/>
          <w:numId w:val="1"/>
        </w:numPr>
        <w:spacing w:after="80"/>
      </w:pPr>
      <w:r>
        <w:t xml:space="preserve">Stopping what you are doing and facing the person</w:t>
      </w:r>
    </w:p>
    <w:p>
      <w:pPr>
        <w:pStyle w:val="ListParagraph"/>
        <w:numPr>
          <w:ilvl w:val="0"/>
          <w:numId w:val="1"/>
        </w:numPr>
        <w:spacing w:after="80"/>
      </w:pPr>
      <w:r>
        <w:t xml:space="preserve">Not interrupting</w:t>
      </w:r>
    </w:p>
    <w:p>
      <w:pPr>
        <w:pStyle w:val="ListParagraph"/>
        <w:numPr>
          <w:ilvl w:val="0"/>
          <w:numId w:val="1"/>
        </w:numPr>
        <w:spacing w:after="80"/>
      </w:pPr>
      <w:r>
        <w:t xml:space="preserve">Using small verbal encouragers such as "mmm" and "I see"</w:t>
      </w:r>
    </w:p>
    <w:p>
      <w:pPr>
        <w:pStyle w:val="ListParagraph"/>
        <w:numPr>
          <w:ilvl w:val="0"/>
          <w:numId w:val="1"/>
        </w:numPr>
        <w:spacing w:after="80"/>
      </w:pPr>
      <w:r>
        <w:t xml:space="preserve">Reflecting back what you have heard</w:t>
      </w:r>
    </w:p>
    <w:p>
      <w:pPr>
        <w:pStyle w:val="ListParagraph"/>
        <w:numPr>
          <w:ilvl w:val="0"/>
          <w:numId w:val="1"/>
        </w:numPr>
        <w:spacing w:after="80"/>
      </w:pPr>
      <w:r>
        <w:t xml:space="preserve">Summarising at the end of the conversation</w:t>
      </w:r>
    </w:p>
    <w:p>
      <w:pPr>
        <w:pStyle w:val="ListParagraph"/>
        <w:numPr>
          <w:ilvl w:val="0"/>
          <w:numId w:val="1"/>
        </w:numPr>
        <w:spacing w:after="80"/>
      </w:pPr>
      <w:r>
        <w:t xml:space="preserve">Asking clarifying questions</w:t>
      </w:r>
    </w:p>
    <w:p>
      <w:pPr>
        <w:spacing w:after="160"/>
      </w:pPr>
      <w:r>
        <w:t xml:space="preserve">Barriers to active listening include noise, time pressure, your own assumptions, and thinking about your reply while the other person is still speaking.</w:t>
      </w:r>
    </w:p>
    <w:p>
      <w:pPr>
        <w:pStyle w:val="Heading2"/>
        <w:spacing w:after="140" w:before="280"/>
      </w:pPr>
      <w:r>
        <w:t xml:space="preserve">Confidentiality in exchanging information</w:t>
      </w:r>
    </w:p>
    <w:p>
      <w:pPr>
        <w:spacing w:after="160"/>
      </w:pPr>
      <w:r>
        <w:t xml:space="preserve">Information about a client is not yours to share. In Australia, the handling of personal information is governed by the Privacy Act 1988 and the Australian Privacy Principles, as well as state and territory privacy and health records legislation, and your organisation's own policies.</w:t>
      </w:r>
    </w:p>
    <w:p>
      <w:pPr>
        <w:spacing w:after="160"/>
      </w:pPr>
      <w:r>
        <w:t xml:space="preserve">The general rule is that you may share client information only with people who need it to do their job, and only to the extent that they need it. This is sometimes described as a "need to know" basis.</w:t>
      </w:r>
    </w:p>
    <w:p>
      <w:pPr>
        <w:spacing w:after="160"/>
      </w:pPr>
      <w:r>
        <w:t xml:space="preserve">Practical points to remember:</w:t>
      </w:r>
    </w:p>
    <w:p>
      <w:pPr>
        <w:pStyle w:val="ListParagraph"/>
        <w:numPr>
          <w:ilvl w:val="0"/>
          <w:numId w:val="1"/>
        </w:numPr>
        <w:spacing w:after="80"/>
      </w:pPr>
      <w:r>
        <w:t xml:space="preserve">Do not discuss clients in corridors, lifts, tea rooms or public transport</w:t>
      </w:r>
    </w:p>
    <w:p>
      <w:pPr>
        <w:pStyle w:val="ListParagraph"/>
        <w:numPr>
          <w:ilvl w:val="0"/>
          <w:numId w:val="1"/>
        </w:numPr>
        <w:spacing w:after="80"/>
      </w:pPr>
      <w:r>
        <w:t xml:space="preserve">Do not leave records open on a screen or on a desk</w:t>
      </w:r>
    </w:p>
    <w:p>
      <w:pPr>
        <w:pStyle w:val="ListParagraph"/>
        <w:numPr>
          <w:ilvl w:val="0"/>
          <w:numId w:val="1"/>
        </w:numPr>
        <w:spacing w:after="80"/>
      </w:pPr>
      <w:r>
        <w:t xml:space="preserve">Do not share information with family members without checking consent</w:t>
      </w:r>
    </w:p>
    <w:p>
      <w:pPr>
        <w:pStyle w:val="ListParagraph"/>
        <w:numPr>
          <w:ilvl w:val="0"/>
          <w:numId w:val="1"/>
        </w:numPr>
        <w:spacing w:after="80"/>
      </w:pPr>
      <w:r>
        <w:t xml:space="preserve">Do not confirm to a caller that a person is even a client of the service unless you have authority to do so</w:t>
      </w:r>
    </w:p>
    <w:p>
      <w:pPr>
        <w:pStyle w:val="Heading2"/>
        <w:spacing w:after="140" w:before="280"/>
      </w:pPr>
      <w:r>
        <w:t xml:space="preserve">Check your understanding</w:t>
      </w:r>
    </w:p>
    <w:p>
      <w:pPr>
        <w:spacing w:after="160"/>
      </w:pPr>
      <w:r>
        <w:rPr>
          <w:b/>
          <w:bCs/>
        </w:rPr>
        <w:t xml:space="preserve">Question 1.</w:t>
      </w:r>
      <w:r>
        <w:t xml:space="preserve"> A client nods and says "yes, yes" when you explain their new medication schedule. What is the best way to confirm they have understood?</w:t>
      </w:r>
    </w:p>
    <w:p>
      <w:pPr>
        <w:spacing w:after="160"/>
      </w:pPr>
      <w:r>
        <w:t xml:space="preserve">A. Ask them to sign the form to show they were informed</w:t>
      </w:r>
    </w:p>
    <w:p>
      <w:pPr>
        <w:spacing w:after="160"/>
      </w:pPr>
      <w:r>
        <w:t xml:space="preserve">B. Ask them to explain back to you in their own words what they will do</w:t>
      </w:r>
    </w:p>
    <w:p>
      <w:pPr>
        <w:spacing w:after="160"/>
      </w:pPr>
      <w:r>
        <w:t xml:space="preserve">C. Repeat the information a second time, more loudly</w:t>
      </w:r>
    </w:p>
    <w:p>
      <w:pPr>
        <w:spacing w:after="160"/>
      </w:pPr>
      <w:r>
        <w:t xml:space="preserve">D. Ask a family member whether the client understood</w:t>
      </w:r>
    </w:p>
    <w:p>
      <w:pPr>
        <w:spacing w:after="160"/>
      </w:pPr>
      <w:r>
        <w:rPr>
          <w:b/>
          <w:bCs/>
        </w:rPr>
        <w:t xml:space="preserve">Question 2.</w:t>
      </w:r>
      <w:r>
        <w:t xml:space="preserve"> A neighbour telephones the aged care facility and asks whether Mrs Fletcher is a resident there. What should you do?</w:t>
      </w:r>
    </w:p>
    <w:p>
      <w:pPr>
        <w:spacing w:after="160"/>
      </w:pPr>
      <w:r>
        <w:t xml:space="preserve">A. Confirm she is a resident but give no further details</w:t>
      </w:r>
    </w:p>
    <w:p>
      <w:pPr>
        <w:spacing w:after="160"/>
      </w:pPr>
      <w:r>
        <w:t xml:space="preserve">B. Take the neighbour's number and pass it to Mrs Fletcher</w:t>
      </w:r>
    </w:p>
    <w:p>
      <w:pPr>
        <w:spacing w:after="160"/>
      </w:pPr>
      <w:r>
        <w:t xml:space="preserve">C. Neither confirm nor deny that Mrs Fletcher is a resident, and follow your organisation's policy</w:t>
      </w:r>
    </w:p>
    <w:p>
      <w:pPr>
        <w:spacing w:after="160"/>
      </w:pPr>
      <w:r>
        <w:t xml:space="preserve">D. Ask the neighbour why they want to know before answering</w:t>
      </w:r>
    </w:p>
    <w:p>
      <w:pPr>
        <w:pStyle w:val="Heading1"/>
        <w:pageBreakBefore/>
        <w:spacing w:after="200" w:before="0"/>
      </w:pPr>
      <w:r>
        <w:t xml:space="preserve">Module 2: Working with your colleagues and the wider service system</w:t>
      </w:r>
    </w:p>
    <w:p>
      <w:pPr>
        <w:pStyle w:val="Heading2"/>
        <w:spacing w:after="140" w:before="280"/>
      </w:pPr>
      <w:r>
        <w:t xml:space="preserve">Introduction</w:t>
      </w:r>
    </w:p>
    <w:p>
      <w:pPr>
        <w:spacing w:after="160"/>
      </w:pPr>
      <w:r>
        <w:t xml:space="preserve">You do not work alone. Health and community services in Australia are delivered by large networks of organisations, teams and individual workers. This module explains how those networks fit together and how to communicate effectively within them.</w:t>
      </w:r>
    </w:p>
    <w:p>
      <w:pPr>
        <w:pStyle w:val="Heading2"/>
        <w:spacing w:after="140" w:before="280"/>
      </w:pPr>
      <w:r>
        <w:t xml:space="preserve">The structure of the health and community services sector</w:t>
      </w:r>
    </w:p>
    <w:p>
      <w:pPr>
        <w:spacing w:after="160"/>
      </w:pPr>
      <w:r>
        <w:t xml:space="preserve">The Australian health and community services sector includes public and private hospitals, general practices, community health services, residential aged care, home care, disability support, mental health services, alcohol and other drug services, child and family services, housing and homelessness services, and many others.</w:t>
      </w:r>
    </w:p>
    <w:p>
      <w:pPr>
        <w:spacing w:after="160"/>
      </w:pPr>
      <w:r>
        <w:t xml:space="preserve">Funding comes from a mixture of Commonwealth, state and territory, and local government sources, along with client contributions, fees and donations. Different parts of the sector are regulated by different bodies and against different standards, such as the Aged Care Quality Standards for aged care and the NDIS Practice Standards for registered NDIS providers.</w:t>
      </w:r>
    </w:p>
    <w:p>
      <w:pPr>
        <w:pStyle w:val="Heading2"/>
        <w:spacing w:after="140" w:before="280"/>
      </w:pPr>
      <w:r>
        <w:t xml:space="preserve">Service delivery models</w:t>
      </w:r>
    </w:p>
    <w:p>
      <w:pPr>
        <w:spacing w:after="160"/>
      </w:pPr>
      <w:r>
        <w:t xml:space="preserve">Two ideas underpin most modern service delivery in Australia.</w:t>
      </w:r>
    </w:p>
    <w:p>
      <w:pPr>
        <w:spacing w:after="160"/>
      </w:pPr>
      <w:r>
        <w:rPr>
          <w:b/>
          <w:bCs/>
        </w:rPr>
        <w:t xml:space="preserve">Person-centred practice</w:t>
      </w:r>
      <w:r>
        <w:t xml:space="preserve"> means services are built around the individual and their goals, rather than the individual being fitted into the service. The person is treated as the expert in their own life.</w:t>
      </w:r>
    </w:p>
    <w:p>
      <w:pPr>
        <w:spacing w:after="160"/>
      </w:pPr>
      <w:r>
        <w:rPr>
          <w:b/>
          <w:bCs/>
        </w:rPr>
        <w:t xml:space="preserve">A rights-based approach</w:t>
      </w:r>
      <w:r>
        <w:t xml:space="preserve"> means services recognise that clients hold rights — to dignity, to choice, to privacy, to freedom from abuse, to make decisions including decisions others may consider unwise. These rights are reflected in charters such as the Charter of Aged Care Rights and in disability standards.</w:t>
      </w:r>
    </w:p>
    <w:p>
      <w:pPr>
        <w:spacing w:after="160"/>
      </w:pPr>
      <w:r>
        <w:t xml:space="preserve">Other models you may encounter include strengths-based practice, trauma-informed practice, and recovery-oriented practice in mental health.</w:t>
      </w:r>
    </w:p>
    <w:p>
      <w:pPr>
        <w:pStyle w:val="Heading2"/>
        <w:spacing w:after="140" w:before="280"/>
      </w:pPr>
      <w:r>
        <w:t xml:space="preserve">Multi-disciplinary teams</w:t>
      </w:r>
    </w:p>
    <w:p>
      <w:pPr>
        <w:spacing w:after="160"/>
      </w:pPr>
      <w:r>
        <w:t xml:space="preserve">A multi-disciplinary team is a group of workers from different professional backgrounds who work together to support the same person.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EFEFEF" w:val="clear"/>
            <w:tcMar>
              <w:top w:type="dxa" w:w="80"/>
              <w:left w:type="dxa" w:w="120"/>
              <w:bottom w:type="dxa" w:w="80"/>
              <w:right w:type="dxa" w:w="120"/>
            </w:tcMar>
          </w:tcPr>
          <w:p>
            <w:r>
              <w:rPr>
                <w:b/>
                <w:bCs/>
              </w:rPr>
              <w:t xml:space="preserve">Role</w:t>
            </w:r>
          </w:p>
        </w:tc>
        <w:tc>
          <w:tcPr>
            <w:tcW w:type="dxa" w:w="4680"/>
            <w:shd w:fill="EFEFEF" w:val="clear"/>
            <w:tcMar>
              <w:top w:type="dxa" w:w="80"/>
              <w:left w:type="dxa" w:w="120"/>
              <w:bottom w:type="dxa" w:w="80"/>
              <w:right w:type="dxa" w:w="120"/>
            </w:tcMar>
          </w:tcPr>
          <w:p>
            <w:r>
              <w:rPr>
                <w:b/>
                <w:bCs/>
              </w:rPr>
              <w:t xml:space="preserve">Typical contribution</w:t>
            </w:r>
          </w:p>
        </w:tc>
      </w:tr>
      <w:tr>
        <w:trPr>
          <w:tblHeader w:val="false"/>
        </w:trPr>
        <w:tc>
          <w:tcPr>
            <w:tcW w:type="dxa" w:w="4680"/>
            <w:tcMar>
              <w:top w:type="dxa" w:w="80"/>
              <w:left w:type="dxa" w:w="120"/>
              <w:bottom w:type="dxa" w:w="80"/>
              <w:right w:type="dxa" w:w="120"/>
            </w:tcMar>
          </w:tcPr>
          <w:p>
            <w:r>
              <w:t xml:space="preserve">Registered nurse</w:t>
            </w:r>
          </w:p>
        </w:tc>
        <w:tc>
          <w:tcPr>
            <w:tcW w:type="dxa" w:w="4680"/>
            <w:tcMar>
              <w:top w:type="dxa" w:w="80"/>
              <w:left w:type="dxa" w:w="120"/>
              <w:bottom w:type="dxa" w:w="80"/>
              <w:right w:type="dxa" w:w="120"/>
            </w:tcMar>
          </w:tcPr>
          <w:p>
            <w:r>
              <w:t xml:space="preserve">Clinical assessment, medication, wound care</w:t>
            </w:r>
          </w:p>
        </w:tc>
      </w:tr>
      <w:tr>
        <w:trPr>
          <w:tblHeader w:val="false"/>
        </w:trPr>
        <w:tc>
          <w:tcPr>
            <w:tcW w:type="dxa" w:w="4680"/>
            <w:tcMar>
              <w:top w:type="dxa" w:w="80"/>
              <w:left w:type="dxa" w:w="120"/>
              <w:bottom w:type="dxa" w:w="80"/>
              <w:right w:type="dxa" w:w="120"/>
            </w:tcMar>
          </w:tcPr>
          <w:p>
            <w:r>
              <w:t xml:space="preserve">Physiotherapist</w:t>
            </w:r>
          </w:p>
        </w:tc>
        <w:tc>
          <w:tcPr>
            <w:tcW w:type="dxa" w:w="4680"/>
            <w:tcMar>
              <w:top w:type="dxa" w:w="80"/>
              <w:left w:type="dxa" w:w="120"/>
              <w:bottom w:type="dxa" w:w="80"/>
              <w:right w:type="dxa" w:w="120"/>
            </w:tcMar>
          </w:tcPr>
          <w:p>
            <w:r>
              <w:t xml:space="preserve">Mobility, falls prevention, exercise</w:t>
            </w:r>
          </w:p>
        </w:tc>
      </w:tr>
      <w:tr>
        <w:trPr>
          <w:tblHeader w:val="false"/>
        </w:trPr>
        <w:tc>
          <w:tcPr>
            <w:tcW w:type="dxa" w:w="4680"/>
            <w:tcMar>
              <w:top w:type="dxa" w:w="80"/>
              <w:left w:type="dxa" w:w="120"/>
              <w:bottom w:type="dxa" w:w="80"/>
              <w:right w:type="dxa" w:w="120"/>
            </w:tcMar>
          </w:tcPr>
          <w:p>
            <w:r>
              <w:t xml:space="preserve">Occupational therapist</w:t>
            </w:r>
          </w:p>
        </w:tc>
        <w:tc>
          <w:tcPr>
            <w:tcW w:type="dxa" w:w="4680"/>
            <w:tcMar>
              <w:top w:type="dxa" w:w="80"/>
              <w:left w:type="dxa" w:w="120"/>
              <w:bottom w:type="dxa" w:w="80"/>
              <w:right w:type="dxa" w:w="120"/>
            </w:tcMar>
          </w:tcPr>
          <w:p>
            <w:r>
              <w:t xml:space="preserve">Equipment, home modifications, daily tasks</w:t>
            </w:r>
          </w:p>
        </w:tc>
      </w:tr>
      <w:tr>
        <w:trPr>
          <w:tblHeader w:val="false"/>
        </w:trPr>
        <w:tc>
          <w:tcPr>
            <w:tcW w:type="dxa" w:w="4680"/>
            <w:tcMar>
              <w:top w:type="dxa" w:w="80"/>
              <w:left w:type="dxa" w:w="120"/>
              <w:bottom w:type="dxa" w:w="80"/>
              <w:right w:type="dxa" w:w="120"/>
            </w:tcMar>
          </w:tcPr>
          <w:p>
            <w:r>
              <w:t xml:space="preserve">Social worker</w:t>
            </w:r>
          </w:p>
        </w:tc>
        <w:tc>
          <w:tcPr>
            <w:tcW w:type="dxa" w:w="4680"/>
            <w:tcMar>
              <w:top w:type="dxa" w:w="80"/>
              <w:left w:type="dxa" w:w="120"/>
              <w:bottom w:type="dxa" w:w="80"/>
              <w:right w:type="dxa" w:w="120"/>
            </w:tcMar>
          </w:tcPr>
          <w:p>
            <w:r>
              <w:t xml:space="preserve">Psychosocial support, advocacy, referrals</w:t>
            </w:r>
          </w:p>
        </w:tc>
      </w:tr>
      <w:tr>
        <w:trPr>
          <w:tblHeader w:val="false"/>
        </w:trPr>
        <w:tc>
          <w:tcPr>
            <w:tcW w:type="dxa" w:w="4680"/>
            <w:tcMar>
              <w:top w:type="dxa" w:w="80"/>
              <w:left w:type="dxa" w:w="120"/>
              <w:bottom w:type="dxa" w:w="80"/>
              <w:right w:type="dxa" w:w="120"/>
            </w:tcMar>
          </w:tcPr>
          <w:p>
            <w:r>
              <w:t xml:space="preserve">Speech pathologist</w:t>
            </w:r>
          </w:p>
        </w:tc>
        <w:tc>
          <w:tcPr>
            <w:tcW w:type="dxa" w:w="4680"/>
            <w:tcMar>
              <w:top w:type="dxa" w:w="80"/>
              <w:left w:type="dxa" w:w="120"/>
              <w:bottom w:type="dxa" w:w="80"/>
              <w:right w:type="dxa" w:w="120"/>
            </w:tcMar>
          </w:tcPr>
          <w:p>
            <w:r>
              <w:t xml:space="preserve">Communication and swallowing</w:t>
            </w:r>
          </w:p>
        </w:tc>
      </w:tr>
      <w:tr>
        <w:trPr>
          <w:tblHeader w:val="false"/>
        </w:trPr>
        <w:tc>
          <w:tcPr>
            <w:tcW w:type="dxa" w:w="4680"/>
            <w:tcMar>
              <w:top w:type="dxa" w:w="80"/>
              <w:left w:type="dxa" w:w="120"/>
              <w:bottom w:type="dxa" w:w="80"/>
              <w:right w:type="dxa" w:w="120"/>
            </w:tcMar>
          </w:tcPr>
          <w:p>
            <w:r>
              <w:t xml:space="preserve">Support worker</w:t>
            </w:r>
          </w:p>
        </w:tc>
        <w:tc>
          <w:tcPr>
            <w:tcW w:type="dxa" w:w="4680"/>
            <w:tcMar>
              <w:top w:type="dxa" w:w="80"/>
              <w:left w:type="dxa" w:w="120"/>
              <w:bottom w:type="dxa" w:w="80"/>
              <w:right w:type="dxa" w:w="120"/>
            </w:tcMar>
          </w:tcPr>
          <w:p>
            <w:r>
              <w:t xml:space="preserve">Day to day personal care and support</w:t>
            </w:r>
          </w:p>
        </w:tc>
      </w:tr>
    </w:tbl>
    <w:p>
      <w:pPr>
        <w:spacing w:after="160"/>
      </w:pPr>
    </w:p>
    <w:p>
      <w:pPr>
        <w:spacing w:after="160"/>
      </w:pPr>
      <w:r>
        <w:t xml:space="preserve">Your observations as a support worker are valuable to the team because you spend the most time with the person.</w:t>
      </w:r>
    </w:p>
    <w:p>
      <w:pPr>
        <w:pStyle w:val="Heading2"/>
        <w:spacing w:after="140" w:before="280"/>
      </w:pPr>
      <w:r>
        <w:t xml:space="preserve">Clarifying instructions and timeframes</w:t>
      </w:r>
    </w:p>
    <w:p>
      <w:pPr>
        <w:spacing w:after="160"/>
      </w:pPr>
      <w:r>
        <w:t xml:space="preserve">If you are given an instruction you do not understand, ask. It is not a sign of weakness to seek clarification; it is a sign of professionalism.</w:t>
      </w:r>
    </w:p>
    <w:p>
      <w:pPr>
        <w:spacing w:after="160"/>
      </w:pPr>
      <w:r>
        <w:t xml:space="preserve">When you receive a task, make sure you know what exactly is required, by when, who is responsible, what to do if you cannot complete it, and who to report to when it is done.</w:t>
      </w:r>
    </w:p>
    <w:p>
      <w:pPr>
        <w:pStyle w:val="Heading2"/>
        <w:spacing w:after="140" w:before="280"/>
      </w:pPr>
      <w:r>
        <w:t xml:space="preserve">Lines of communication and lines of authority</w:t>
      </w:r>
    </w:p>
    <w:p>
      <w:pPr>
        <w:spacing w:after="160"/>
      </w:pPr>
      <w:r>
        <w:t xml:space="preserve">Every organisation has a structure that sets out who reports to whom. This is often shown in an organisational chart. Following these lines of authority means raising matters with the right person, at the right time, in the right way.</w:t>
      </w:r>
    </w:p>
    <w:p>
      <w:pPr>
        <w:spacing w:after="160"/>
      </w:pPr>
      <w:r>
        <w:t xml:space="preserve">Communication protocols may include handover procedures, incident reporting processes, case conferences, team meetings, progress note requirements and referral pathways.</w:t>
      </w:r>
    </w:p>
    <w:p>
      <w:pPr>
        <w:pStyle w:val="Heading2"/>
        <w:spacing w:after="140" w:before="280"/>
      </w:pPr>
      <w:r>
        <w:t xml:space="preserve">Using correct industry terminology</w:t>
      </w:r>
    </w:p>
    <w:p>
      <w:pPr>
        <w:spacing w:after="160"/>
      </w:pPr>
      <w:r>
        <w:t xml:space="preserve">Using the right terminology helps other workers understand you quickly and accurately. However, terminology should always be adjusted for the audience. Use professional terms with professional colleagues and plain English with clients.</w:t>
      </w:r>
    </w:p>
    <w:p>
      <w:pPr>
        <w:spacing w:after="160"/>
      </w:pPr>
      <w:r>
        <w:t xml:space="preserve">Some examples of terms used in the sector:</w:t>
      </w:r>
    </w:p>
    <w:p>
      <w:pPr>
        <w:pStyle w:val="ListParagraph"/>
        <w:numPr>
          <w:ilvl w:val="0"/>
          <w:numId w:val="1"/>
        </w:numPr>
        <w:spacing w:after="80"/>
      </w:pPr>
      <w:r>
        <w:t xml:space="preserve">ADLs — activities of daily living</w:t>
      </w:r>
    </w:p>
    <w:p>
      <w:pPr>
        <w:pStyle w:val="ListParagraph"/>
        <w:numPr>
          <w:ilvl w:val="0"/>
          <w:numId w:val="1"/>
        </w:numPr>
        <w:spacing w:after="80"/>
      </w:pPr>
      <w:r>
        <w:t xml:space="preserve">Care plan — the document that sets out a person's supports</w:t>
      </w:r>
    </w:p>
    <w:p>
      <w:pPr>
        <w:pStyle w:val="ListParagraph"/>
        <w:numPr>
          <w:ilvl w:val="0"/>
          <w:numId w:val="1"/>
        </w:numPr>
        <w:spacing w:after="80"/>
      </w:pPr>
      <w:r>
        <w:t xml:space="preserve">Handover — the structured passing of information between shifts</w:t>
      </w:r>
    </w:p>
    <w:p>
      <w:pPr>
        <w:pStyle w:val="ListParagraph"/>
        <w:numPr>
          <w:ilvl w:val="0"/>
          <w:numId w:val="1"/>
        </w:numPr>
        <w:spacing w:after="80"/>
      </w:pPr>
      <w:r>
        <w:t xml:space="preserve">Progress notes — the ongoing written record of a person's care</w:t>
      </w:r>
    </w:p>
    <w:p>
      <w:pPr>
        <w:pStyle w:val="ListParagraph"/>
        <w:numPr>
          <w:ilvl w:val="0"/>
          <w:numId w:val="1"/>
        </w:numPr>
        <w:spacing w:after="80"/>
      </w:pPr>
      <w:r>
        <w:t xml:space="preserve">Duty of care — the legal obligation to avoid causing harm</w:t>
      </w:r>
    </w:p>
    <w:p>
      <w:pPr>
        <w:pStyle w:val="Heading2"/>
        <w:spacing w:after="140" w:before="280"/>
      </w:pPr>
      <w:r>
        <w:t xml:space="preserve">Check your understanding</w:t>
      </w:r>
    </w:p>
    <w:p>
      <w:pPr>
        <w:spacing w:after="160"/>
      </w:pPr>
      <w:r>
        <w:rPr>
          <w:b/>
          <w:bCs/>
        </w:rPr>
        <w:t xml:space="preserve">Question 1.</w:t>
      </w:r>
      <w:r>
        <w:t xml:space="preserve"> Your supervisor asks you to "sort out Mr Nguyen's paperwork before the end of the week". What is the most appropriate response?</w:t>
      </w:r>
    </w:p>
    <w:p>
      <w:pPr>
        <w:spacing w:after="160"/>
      </w:pPr>
      <w:r>
        <w:t xml:space="preserve">A. Complete what you think is required and hope it is right</w:t>
      </w:r>
    </w:p>
    <w:p>
      <w:pPr>
        <w:spacing w:after="160"/>
      </w:pPr>
      <w:r>
        <w:t xml:space="preserve">B. Ask which documents are meant, what needs to be done to them, and by which day</w:t>
      </w:r>
    </w:p>
    <w:p>
      <w:pPr>
        <w:spacing w:after="160"/>
      </w:pPr>
      <w:r>
        <w:t xml:space="preserve">C. Wait until Friday and then ask a colleague</w:t>
      </w:r>
    </w:p>
    <w:p>
      <w:pPr>
        <w:spacing w:after="160"/>
      </w:pPr>
      <w:r>
        <w:t xml:space="preserve">D. Complete the task and email your supervisor to say it is finished</w:t>
      </w:r>
    </w:p>
    <w:p>
      <w:pPr>
        <w:spacing w:after="160"/>
      </w:pPr>
      <w:r>
        <w:rPr>
          <w:b/>
          <w:bCs/>
        </w:rPr>
        <w:t xml:space="preserve">Question 2.</w:t>
      </w:r>
      <w:r>
        <w:t xml:space="preserve"> Which of the following best describes person-centred practice?</w:t>
      </w:r>
    </w:p>
    <w:p>
      <w:pPr>
        <w:spacing w:after="160"/>
      </w:pPr>
      <w:r>
        <w:t xml:space="preserve">A. The service decides what supports the client needs based on assessment</w:t>
      </w:r>
    </w:p>
    <w:p>
      <w:pPr>
        <w:spacing w:after="160"/>
      </w:pPr>
      <w:r>
        <w:t xml:space="preserve">B. The client's family makes decisions on the client's behalf</w:t>
      </w:r>
    </w:p>
    <w:p>
      <w:pPr>
        <w:spacing w:after="160"/>
      </w:pPr>
      <w:r>
        <w:t xml:space="preserve">C. Supports are built around the person's own goals, choices and preferences</w:t>
      </w:r>
    </w:p>
    <w:p>
      <w:pPr>
        <w:spacing w:after="160"/>
      </w:pPr>
      <w:r>
        <w:t xml:space="preserve">D. All clients receive the same standard package of supports</w:t>
      </w:r>
    </w:p>
    <w:p>
      <w:pPr>
        <w:pStyle w:val="Heading1"/>
        <w:pageBreakBefore/>
        <w:spacing w:after="200" w:before="0"/>
      </w:pPr>
      <w:r>
        <w:t xml:space="preserve">Module 3: When communication gets difficult</w:t>
      </w:r>
    </w:p>
    <w:p>
      <w:pPr>
        <w:pStyle w:val="Heading2"/>
        <w:spacing w:after="140" w:before="280"/>
      </w:pPr>
      <w:r>
        <w:t xml:space="preserve">Introduction</w:t>
      </w:r>
    </w:p>
    <w:p>
      <w:pPr>
        <w:spacing w:after="160"/>
      </w:pPr>
      <w:r>
        <w:t xml:space="preserve">Not every conversation goes smoothly. People who use health and community services are often unwell, in pain, frightened, grieving or frustrated. This module covers how to recognise a difficult situation early, understand the constraints that affect communication, and respond in a way that reduces tension rather than increasing it.</w:t>
      </w:r>
    </w:p>
    <w:p>
      <w:pPr>
        <w:pStyle w:val="Heading2"/>
        <w:spacing w:after="140" w:before="280"/>
      </w:pPr>
      <w:r>
        <w:t xml:space="preserve">Recognising the early signs</w:t>
      </w:r>
    </w:p>
    <w:p>
      <w:pPr>
        <w:spacing w:after="160"/>
      </w:pPr>
      <w:r>
        <w:t xml:space="preserve">Most conflict builds gradually. If you notice the early signs you have more options.</w:t>
      </w:r>
    </w:p>
    <w:p>
      <w:pPr>
        <w:spacing w:after="160"/>
      </w:pPr>
      <w:r>
        <w:t xml:space="preserve">Early signs may include:</w:t>
      </w:r>
    </w:p>
    <w:p>
      <w:pPr>
        <w:pStyle w:val="ListParagraph"/>
        <w:numPr>
          <w:ilvl w:val="0"/>
          <w:numId w:val="1"/>
        </w:numPr>
        <w:spacing w:after="80"/>
      </w:pPr>
      <w:r>
        <w:t xml:space="preserve">Changes in tone or volume of voice</w:t>
      </w:r>
    </w:p>
    <w:p>
      <w:pPr>
        <w:pStyle w:val="ListParagraph"/>
        <w:numPr>
          <w:ilvl w:val="0"/>
          <w:numId w:val="1"/>
        </w:numPr>
        <w:spacing w:after="80"/>
      </w:pPr>
      <w:r>
        <w:t xml:space="preserve">Shorter answers, or silence</w:t>
      </w:r>
    </w:p>
    <w:p>
      <w:pPr>
        <w:pStyle w:val="ListParagraph"/>
        <w:numPr>
          <w:ilvl w:val="0"/>
          <w:numId w:val="1"/>
        </w:numPr>
        <w:spacing w:after="80"/>
      </w:pPr>
      <w:r>
        <w:t xml:space="preserve">Restlessness, pacing or clenched hands</w:t>
      </w:r>
    </w:p>
    <w:p>
      <w:pPr>
        <w:pStyle w:val="ListParagraph"/>
        <w:numPr>
          <w:ilvl w:val="0"/>
          <w:numId w:val="1"/>
        </w:numPr>
        <w:spacing w:after="80"/>
      </w:pPr>
      <w:r>
        <w:t xml:space="preserve">Repeating the same complaint</w:t>
      </w:r>
    </w:p>
    <w:p>
      <w:pPr>
        <w:pStyle w:val="ListParagraph"/>
        <w:numPr>
          <w:ilvl w:val="0"/>
          <w:numId w:val="1"/>
        </w:numPr>
        <w:spacing w:after="80"/>
      </w:pPr>
      <w:r>
        <w:t xml:space="preserve">Withdrawal from usual activities</w:t>
      </w:r>
    </w:p>
    <w:p>
      <w:pPr>
        <w:pStyle w:val="ListParagraph"/>
        <w:numPr>
          <w:ilvl w:val="0"/>
          <w:numId w:val="1"/>
        </w:numPr>
        <w:spacing w:after="80"/>
      </w:pPr>
      <w:r>
        <w:t xml:space="preserve">Refusing supports the person normally accepts</w:t>
      </w:r>
    </w:p>
    <w:p>
      <w:pPr>
        <w:pStyle w:val="Heading2"/>
        <w:spacing w:after="140" w:before="280"/>
      </w:pPr>
      <w:r>
        <w:t xml:space="preserve">Constraints on communication</w:t>
      </w:r>
    </w:p>
    <w:p>
      <w:pPr>
        <w:spacing w:after="160"/>
      </w:pPr>
      <w:r>
        <w:t xml:space="preserve">Many things can make communication harder. These are not the person's fault.</w:t>
      </w:r>
    </w:p>
    <w:p>
      <w:pPr>
        <w:spacing w:after="160"/>
      </w:pPr>
      <w:r>
        <w:rPr>
          <w:b/>
          <w:bCs/>
        </w:rPr>
        <w:t xml:space="preserve">Language.</w:t>
      </w:r>
      <w:r>
        <w:t xml:space="preserve"> Australia is a multilingual country. A person may have limited English, or may lose their second language when unwell, tired or living with dementia.</w:t>
      </w:r>
    </w:p>
    <w:p>
      <w:pPr>
        <w:spacing w:after="160"/>
      </w:pPr>
      <w:r>
        <w:rPr>
          <w:b/>
          <w:bCs/>
        </w:rPr>
        <w:t xml:space="preserve">Culture.</w:t>
      </w:r>
      <w:r>
        <w:t xml:space="preserve"> Cultural background influences eye contact, physical touch, gender preferences for personal care, attitudes to authority and family decision making.</w:t>
      </w:r>
    </w:p>
    <w:p>
      <w:pPr>
        <w:spacing w:after="160"/>
      </w:pPr>
      <w:r>
        <w:rPr>
          <w:b/>
          <w:bCs/>
        </w:rPr>
        <w:t xml:space="preserve">Religion.</w:t>
      </w:r>
      <w:r>
        <w:t xml:space="preserve"> Religious practice may affect diet, dress, prayer times, treatment preferences and end of life decisions.</w:t>
      </w:r>
    </w:p>
    <w:p>
      <w:pPr>
        <w:spacing w:after="160"/>
      </w:pPr>
      <w:r>
        <w:rPr>
          <w:b/>
          <w:bCs/>
        </w:rPr>
        <w:t xml:space="preserve">Emotional state.</w:t>
      </w:r>
      <w:r>
        <w:t xml:space="preserve"> Grief, anxiety, anger and fear all reduce a person's capacity to take in information.</w:t>
      </w:r>
    </w:p>
    <w:p>
      <w:pPr>
        <w:spacing w:after="160"/>
      </w:pPr>
      <w:r>
        <w:rPr>
          <w:b/>
          <w:bCs/>
        </w:rPr>
        <w:t xml:space="preserve">Disability.</w:t>
      </w:r>
      <w:r>
        <w:t xml:space="preserve"> Vision, hearing, cognitive and speech disabilities all affect communication and require adjustments.</w:t>
      </w:r>
    </w:p>
    <w:p>
      <w:pPr>
        <w:spacing w:after="160"/>
      </w:pPr>
      <w:r>
        <w:rPr>
          <w:b/>
          <w:bCs/>
        </w:rPr>
        <w:t xml:space="preserve">Health.</w:t>
      </w:r>
      <w:r>
        <w:t xml:space="preserve"> Pain, medication, infection, fatigue and delirium all affect communication.</w:t>
      </w:r>
    </w:p>
    <w:p>
      <w:pPr>
        <w:spacing w:after="160"/>
      </w:pPr>
      <w:r>
        <w:rPr>
          <w:b/>
          <w:bCs/>
        </w:rPr>
        <w:t xml:space="preserve">Age.</w:t>
      </w:r>
      <w:r>
        <w:t xml:space="preserve"> Both very young and very old people may need different approaches.</w:t>
      </w:r>
    </w:p>
    <w:p>
      <w:pPr>
        <w:pStyle w:val="Heading2"/>
        <w:spacing w:after="140" w:before="280"/>
      </w:pPr>
      <w:r>
        <w:t xml:space="preserve">Techniques that help</w:t>
      </w:r>
    </w:p>
    <w:p>
      <w:pPr>
        <w:spacing w:after="160"/>
      </w:pPr>
      <w:r>
        <w:t xml:space="preserve">A group of core techniques, sometimes summarised as OARS, is widely used in the sector.</w:t>
      </w:r>
    </w:p>
    <w:p>
      <w:pPr>
        <w:pStyle w:val="ListParagraph"/>
        <w:numPr>
          <w:ilvl w:val="0"/>
          <w:numId w:val="1"/>
        </w:numPr>
        <w:spacing w:after="80"/>
      </w:pPr>
      <w:r>
        <w:rPr>
          <w:b/>
          <w:bCs/>
        </w:rPr>
        <w:t xml:space="preserve">Open questions</w:t>
      </w:r>
      <w:r>
        <w:t xml:space="preserve"> invite more than a yes or no answer</w:t>
      </w:r>
    </w:p>
    <w:p>
      <w:pPr>
        <w:pStyle w:val="ListParagraph"/>
        <w:numPr>
          <w:ilvl w:val="0"/>
          <w:numId w:val="1"/>
        </w:numPr>
        <w:spacing w:after="80"/>
      </w:pPr>
      <w:r>
        <w:rPr>
          <w:b/>
          <w:bCs/>
        </w:rPr>
        <w:t xml:space="preserve">Affirmations</w:t>
      </w:r>
      <w:r>
        <w:t xml:space="preserve"> recognise the person's strengths and efforts</w:t>
      </w:r>
    </w:p>
    <w:p>
      <w:pPr>
        <w:pStyle w:val="ListParagraph"/>
        <w:numPr>
          <w:ilvl w:val="0"/>
          <w:numId w:val="1"/>
        </w:numPr>
        <w:spacing w:after="80"/>
      </w:pPr>
      <w:r>
        <w:rPr>
          <w:b/>
          <w:bCs/>
        </w:rPr>
        <w:t xml:space="preserve">Reflections</w:t>
      </w:r>
      <w:r>
        <w:t xml:space="preserve"> restate what you have heard</w:t>
      </w:r>
    </w:p>
    <w:p>
      <w:pPr>
        <w:pStyle w:val="ListParagraph"/>
        <w:numPr>
          <w:ilvl w:val="0"/>
          <w:numId w:val="1"/>
        </w:numPr>
        <w:spacing w:after="80"/>
      </w:pPr>
      <w:r>
        <w:rPr>
          <w:b/>
          <w:bCs/>
        </w:rPr>
        <w:t xml:space="preserve">Summaries</w:t>
      </w:r>
      <w:r>
        <w:t xml:space="preserve"> pull together the conversation and check accuracy</w:t>
      </w:r>
    </w:p>
    <w:p>
      <w:pPr>
        <w:pStyle w:val="Heading2"/>
        <w:spacing w:after="140" w:before="280"/>
      </w:pPr>
      <w:r>
        <w:t xml:space="preserve">Motivational approaches versus coercive approaches</w:t>
      </w:r>
    </w:p>
    <w:p>
      <w:pPr>
        <w:spacing w:after="160"/>
      </w:pPr>
      <w:r>
        <w:t xml:space="preserve">A motivational approach works with a person's own reasons for change. A coercive approach uses pressure, threats or removal of choice.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EFEFEF" w:val="clear"/>
            <w:tcMar>
              <w:top w:type="dxa" w:w="80"/>
              <w:left w:type="dxa" w:w="120"/>
              <w:bottom w:type="dxa" w:w="80"/>
              <w:right w:type="dxa" w:w="120"/>
            </w:tcMar>
          </w:tcPr>
          <w:p>
            <w:r>
              <w:rPr>
                <w:b/>
                <w:bCs/>
              </w:rPr>
              <w:t xml:space="preserve">Motivational</w:t>
            </w:r>
          </w:p>
        </w:tc>
        <w:tc>
          <w:tcPr>
            <w:tcW w:type="dxa" w:w="4680"/>
            <w:shd w:fill="EFEFEF" w:val="clear"/>
            <w:tcMar>
              <w:top w:type="dxa" w:w="80"/>
              <w:left w:type="dxa" w:w="120"/>
              <w:bottom w:type="dxa" w:w="80"/>
              <w:right w:type="dxa" w:w="120"/>
            </w:tcMar>
          </w:tcPr>
          <w:p>
            <w:r>
              <w:rPr>
                <w:b/>
                <w:bCs/>
              </w:rPr>
              <w:t xml:space="preserve">Coercive</w:t>
            </w:r>
          </w:p>
        </w:tc>
      </w:tr>
      <w:tr>
        <w:trPr>
          <w:tblHeader w:val="false"/>
        </w:trPr>
        <w:tc>
          <w:tcPr>
            <w:tcW w:type="dxa" w:w="4680"/>
            <w:tcMar>
              <w:top w:type="dxa" w:w="80"/>
              <w:left w:type="dxa" w:w="120"/>
              <w:bottom w:type="dxa" w:w="80"/>
              <w:right w:type="dxa" w:w="120"/>
            </w:tcMar>
          </w:tcPr>
          <w:p>
            <w:r>
              <w:t xml:space="preserve">"What matters to you about staying at home?"</w:t>
            </w:r>
          </w:p>
        </w:tc>
        <w:tc>
          <w:tcPr>
            <w:tcW w:type="dxa" w:w="4680"/>
            <w:tcMar>
              <w:top w:type="dxa" w:w="80"/>
              <w:left w:type="dxa" w:w="120"/>
              <w:bottom w:type="dxa" w:w="80"/>
              <w:right w:type="dxa" w:w="120"/>
            </w:tcMar>
          </w:tcPr>
          <w:p>
            <w:r>
              <w:t xml:space="preserve">"If you don't shower you'll have to move"</w:t>
            </w:r>
          </w:p>
        </w:tc>
      </w:tr>
      <w:tr>
        <w:trPr>
          <w:tblHeader w:val="false"/>
        </w:trPr>
        <w:tc>
          <w:tcPr>
            <w:tcW w:type="dxa" w:w="4680"/>
            <w:tcMar>
              <w:top w:type="dxa" w:w="80"/>
              <w:left w:type="dxa" w:w="120"/>
              <w:bottom w:type="dxa" w:w="80"/>
              <w:right w:type="dxa" w:w="120"/>
            </w:tcMar>
          </w:tcPr>
          <w:p>
            <w:r>
              <w:t xml:space="preserve">Offers choices</w:t>
            </w:r>
          </w:p>
        </w:tc>
        <w:tc>
          <w:tcPr>
            <w:tcW w:type="dxa" w:w="4680"/>
            <w:tcMar>
              <w:top w:type="dxa" w:w="80"/>
              <w:left w:type="dxa" w:w="120"/>
              <w:bottom w:type="dxa" w:w="80"/>
              <w:right w:type="dxa" w:w="120"/>
            </w:tcMar>
          </w:tcPr>
          <w:p>
            <w:r>
              <w:t xml:space="preserve">Issues ultimatums</w:t>
            </w:r>
          </w:p>
        </w:tc>
      </w:tr>
      <w:tr>
        <w:trPr>
          <w:tblHeader w:val="false"/>
        </w:trPr>
        <w:tc>
          <w:tcPr>
            <w:tcW w:type="dxa" w:w="4680"/>
            <w:tcMar>
              <w:top w:type="dxa" w:w="80"/>
              <w:left w:type="dxa" w:w="120"/>
              <w:bottom w:type="dxa" w:w="80"/>
              <w:right w:type="dxa" w:w="120"/>
            </w:tcMar>
          </w:tcPr>
          <w:p>
            <w:r>
              <w:t xml:space="preserve">Accepts the person may not be ready</w:t>
            </w:r>
          </w:p>
        </w:tc>
        <w:tc>
          <w:tcPr>
            <w:tcW w:type="dxa" w:w="4680"/>
            <w:tcMar>
              <w:top w:type="dxa" w:w="80"/>
              <w:left w:type="dxa" w:w="120"/>
              <w:bottom w:type="dxa" w:w="80"/>
              <w:right w:type="dxa" w:w="120"/>
            </w:tcMar>
          </w:tcPr>
          <w:p>
            <w:r>
              <w:t xml:space="preserve">Demands immediate compliance</w:t>
            </w:r>
          </w:p>
        </w:tc>
      </w:tr>
      <w:tr>
        <w:trPr>
          <w:tblHeader w:val="false"/>
        </w:trPr>
        <w:tc>
          <w:tcPr>
            <w:tcW w:type="dxa" w:w="4680"/>
            <w:tcMar>
              <w:top w:type="dxa" w:w="80"/>
              <w:left w:type="dxa" w:w="120"/>
              <w:bottom w:type="dxa" w:w="80"/>
              <w:right w:type="dxa" w:w="120"/>
            </w:tcMar>
          </w:tcPr>
          <w:p>
            <w:r>
              <w:t xml:space="preserve">Builds the relationship</w:t>
            </w:r>
          </w:p>
        </w:tc>
        <w:tc>
          <w:tcPr>
            <w:tcW w:type="dxa" w:w="4680"/>
            <w:tcMar>
              <w:top w:type="dxa" w:w="80"/>
              <w:left w:type="dxa" w:w="120"/>
              <w:bottom w:type="dxa" w:w="80"/>
              <w:right w:type="dxa" w:w="120"/>
            </w:tcMar>
          </w:tcPr>
          <w:p>
            <w:r>
              <w:t xml:space="preserve">Damages the relationship</w:t>
            </w:r>
          </w:p>
        </w:tc>
      </w:tr>
    </w:tbl>
    <w:p>
      <w:pPr>
        <w:spacing w:after="160"/>
      </w:pPr>
    </w:p>
    <w:p>
      <w:pPr>
        <w:pStyle w:val="Heading2"/>
        <w:spacing w:after="140" w:before="280"/>
      </w:pPr>
      <w:r>
        <w:t xml:space="preserve">De-escalation</w:t>
      </w:r>
    </w:p>
    <w:p>
      <w:pPr>
        <w:spacing w:after="160"/>
      </w:pPr>
      <w:r>
        <w:t xml:space="preserve">De-escalation means reducing the intensity of a situation.</w:t>
      </w:r>
    </w:p>
    <w:p>
      <w:pPr>
        <w:spacing w:after="160"/>
      </w:pPr>
      <w:r>
        <w:t xml:space="preserve">Steps commonly used include:</w:t>
      </w:r>
    </w:p>
    <w:p>
      <w:pPr>
        <w:pStyle w:val="ListParagraph"/>
        <w:numPr>
          <w:ilvl w:val="0"/>
          <w:numId w:val="2"/>
        </w:numPr>
        <w:spacing w:after="80"/>
      </w:pPr>
      <w:r>
        <w:t xml:space="preserve">Check the environment is safe for you and others</w:t>
      </w:r>
    </w:p>
    <w:p>
      <w:pPr>
        <w:pStyle w:val="ListParagraph"/>
        <w:numPr>
          <w:ilvl w:val="0"/>
          <w:numId w:val="2"/>
        </w:numPr>
        <w:spacing w:after="80"/>
      </w:pPr>
      <w:r>
        <w:t xml:space="preserve">Lower your voice and slow your speech</w:t>
      </w:r>
    </w:p>
    <w:p>
      <w:pPr>
        <w:pStyle w:val="ListParagraph"/>
        <w:numPr>
          <w:ilvl w:val="0"/>
          <w:numId w:val="2"/>
        </w:numPr>
        <w:spacing w:after="80"/>
      </w:pPr>
      <w:r>
        <w:t xml:space="preserve">Give the person physical space</w:t>
      </w:r>
    </w:p>
    <w:p>
      <w:pPr>
        <w:pStyle w:val="ListParagraph"/>
        <w:numPr>
          <w:ilvl w:val="0"/>
          <w:numId w:val="2"/>
        </w:numPr>
        <w:spacing w:after="80"/>
      </w:pPr>
      <w:r>
        <w:t xml:space="preserve">Acknowledge the feeling</w:t>
      </w:r>
    </w:p>
    <w:p>
      <w:pPr>
        <w:pStyle w:val="ListParagraph"/>
        <w:numPr>
          <w:ilvl w:val="0"/>
          <w:numId w:val="2"/>
        </w:numPr>
        <w:spacing w:after="80"/>
      </w:pPr>
      <w:r>
        <w:t xml:space="preserve">Ask what would help</w:t>
      </w:r>
    </w:p>
    <w:p>
      <w:pPr>
        <w:pStyle w:val="ListParagraph"/>
        <w:numPr>
          <w:ilvl w:val="0"/>
          <w:numId w:val="2"/>
        </w:numPr>
        <w:spacing w:after="80"/>
      </w:pPr>
      <w:r>
        <w:t xml:space="preserve">Offer realistic choices</w:t>
      </w:r>
    </w:p>
    <w:p>
      <w:pPr>
        <w:pStyle w:val="ListParagraph"/>
        <w:numPr>
          <w:ilvl w:val="0"/>
          <w:numId w:val="2"/>
        </w:numPr>
        <w:spacing w:after="80"/>
      </w:pPr>
      <w:r>
        <w:t xml:space="preserve">Withdraw and seek help if safety is at risk</w:t>
      </w:r>
    </w:p>
    <w:p>
      <w:pPr>
        <w:spacing w:after="160"/>
      </w:pPr>
      <w:r>
        <w:t xml:space="preserve">Your safety comes first. If a situation becomes unsafe, leave and follow your organisation's procedure.</w:t>
      </w:r>
    </w:p>
    <w:p>
      <w:pPr>
        <w:pStyle w:val="Heading2"/>
        <w:spacing w:after="140" w:before="280"/>
      </w:pPr>
      <w:r>
        <w:t xml:space="preserve">Collaboration rather than confrontation</w:t>
      </w:r>
    </w:p>
    <w:p>
      <w:pPr>
        <w:spacing w:after="160"/>
      </w:pPr>
      <w:r>
        <w:t xml:space="preserve">Confrontation frames the conversation as you against the person. Collaboration frames it as both of you against the problem. Collaborative language uses "we", asks rather than tells, and looks for options.</w:t>
      </w:r>
    </w:p>
    <w:p>
      <w:pPr>
        <w:pStyle w:val="Heading2"/>
        <w:spacing w:after="140" w:before="280"/>
      </w:pPr>
      <w:r>
        <w:t xml:space="preserve">Check your understanding</w:t>
      </w:r>
    </w:p>
    <w:p>
      <w:pPr>
        <w:spacing w:after="160"/>
      </w:pPr>
      <w:r>
        <w:rPr>
          <w:b/>
          <w:bCs/>
        </w:rPr>
        <w:t xml:space="preserve">Question 1.</w:t>
      </w:r>
      <w:r>
        <w:t xml:space="preserve"> A resident with dementia becomes agitated during personal care and pushes your hand away. What is the most appropriate first response?</w:t>
      </w:r>
    </w:p>
    <w:p>
      <w:pPr>
        <w:spacing w:after="160"/>
      </w:pPr>
      <w:r>
        <w:t xml:space="preserve">A. Continue quickly so the care is completed</w:t>
      </w:r>
    </w:p>
    <w:p>
      <w:pPr>
        <w:spacing w:after="160"/>
      </w:pPr>
      <w:r>
        <w:t xml:space="preserve">B. Stop, step back, give space, and speak calmly</w:t>
      </w:r>
    </w:p>
    <w:p>
      <w:pPr>
        <w:spacing w:after="160"/>
      </w:pPr>
      <w:r>
        <w:t xml:space="preserve">C. Tell the resident their behaviour is unacceptable</w:t>
      </w:r>
    </w:p>
    <w:p>
      <w:pPr>
        <w:spacing w:after="160"/>
      </w:pPr>
      <w:r>
        <w:t xml:space="preserve">D. Call two other staff to assist you to continue</w:t>
      </w:r>
    </w:p>
    <w:p>
      <w:pPr>
        <w:spacing w:after="160"/>
      </w:pPr>
      <w:r>
        <w:rPr>
          <w:b/>
          <w:bCs/>
        </w:rPr>
        <w:t xml:space="preserve">Question 2.</w:t>
      </w:r>
      <w:r>
        <w:t xml:space="preserve"> Which of the following is an example of an open question?</w:t>
      </w:r>
    </w:p>
    <w:p>
      <w:pPr>
        <w:spacing w:after="160"/>
      </w:pPr>
      <w:r>
        <w:t xml:space="preserve">A. "Are you feeling better today?"</w:t>
      </w:r>
    </w:p>
    <w:p>
      <w:pPr>
        <w:spacing w:after="160"/>
      </w:pPr>
      <w:r>
        <w:t xml:space="preserve">B. "Did you sleep well?"</w:t>
      </w:r>
    </w:p>
    <w:p>
      <w:pPr>
        <w:spacing w:after="160"/>
      </w:pPr>
      <w:r>
        <w:t xml:space="preserve">C. "How have things been since we last spoke?"</w:t>
      </w:r>
    </w:p>
    <w:p>
      <w:pPr>
        <w:spacing w:after="160"/>
      </w:pPr>
      <w:r>
        <w:t xml:space="preserve">D. "Would you like a cup of tea?"</w:t>
      </w:r>
    </w:p>
    <w:p>
      <w:pPr>
        <w:pStyle w:val="Heading1"/>
        <w:pageBreakBefore/>
        <w:spacing w:after="200" w:before="0"/>
      </w:pPr>
      <w:r>
        <w:t xml:space="preserve">Module 4: Legal and ethical responsibilities, and knowing when to escalate</w:t>
      </w:r>
    </w:p>
    <w:p>
      <w:pPr>
        <w:pStyle w:val="Heading2"/>
        <w:spacing w:after="140" w:before="280"/>
      </w:pPr>
      <w:r>
        <w:t xml:space="preserve">Introduction</w:t>
      </w:r>
    </w:p>
    <w:p>
      <w:pPr>
        <w:spacing w:after="160"/>
      </w:pPr>
      <w:r>
        <w:t xml:space="preserve">Everything you do at work sits inside a legal and ethical framework. This module explains the main legal responsibilities that apply to communication in health and community services, and what to do when something goes wrong.</w:t>
      </w:r>
    </w:p>
    <w:p>
      <w:pPr>
        <w:pStyle w:val="Heading2"/>
        <w:spacing w:after="140" w:before="280"/>
      </w:pPr>
      <w:r>
        <w:t xml:space="preserve">Privacy, confidentiality and disclosure</w:t>
      </w:r>
    </w:p>
    <w:p>
      <w:pPr>
        <w:spacing w:after="160"/>
      </w:pPr>
      <w:r>
        <w:t xml:space="preserve">Privacy law in Australia includes the Privacy Act 1988 and the Australian Privacy Principles, together with state and territory health records and privacy legislation. These laws set out how personal and health information must be collected, stored, used and disclosed.</w:t>
      </w:r>
    </w:p>
    <w:p>
      <w:pPr>
        <w:spacing w:after="160"/>
      </w:pPr>
      <w:r>
        <w:t xml:space="preserve">There are limited situations in which information may or must be disclosed without consent. These generally include a serious and imminent threat to life or health, legal obligations such as mandatory reporting, and court orders or subpoenas. If you believe such a situation exists, you should escalate rather than decide alone.</w:t>
      </w:r>
    </w:p>
    <w:p>
      <w:pPr>
        <w:pStyle w:val="Heading2"/>
        <w:spacing w:after="140" w:before="280"/>
      </w:pPr>
      <w:r>
        <w:t xml:space="preserve">Discrimination</w:t>
      </w:r>
    </w:p>
    <w:p>
      <w:pPr>
        <w:spacing w:after="160"/>
      </w:pPr>
      <w:r>
        <w:t xml:space="preserve">Australian anti-discrimination law at both Commonwealth and state or territory level makes it unlawful to treat someone unfairly because of protected attributes such as race, sex, age, disability, sexual orientation, gender identity, religion and other characteristics.</w:t>
      </w:r>
    </w:p>
    <w:p>
      <w:pPr>
        <w:spacing w:after="160"/>
      </w:pPr>
      <w:r>
        <w:t xml:space="preserve">Discrimination in service delivery can be direct or indirect. Indirect discrimination occurs when a rule that appears neutral disadvantages a group, such as offering information only in English.</w:t>
      </w:r>
    </w:p>
    <w:p>
      <w:pPr>
        <w:pStyle w:val="Heading2"/>
        <w:spacing w:after="140" w:before="280"/>
      </w:pPr>
      <w:r>
        <w:t xml:space="preserve">Duty of care and dignity of risk</w:t>
      </w:r>
    </w:p>
    <w:p>
      <w:pPr>
        <w:spacing w:after="160"/>
      </w:pPr>
      <w:r>
        <w:t xml:space="preserve">Duty of care is the legal obligation to take reasonable care to avoid harm to others. Dignity of risk is the principle that people have the right to make choices that carry risk.</w:t>
      </w:r>
    </w:p>
    <w:p>
      <w:pPr>
        <w:spacing w:after="160"/>
      </w:pPr>
      <w:r>
        <w:t xml:space="preserve">These two ideas can pull in different directions. The usual approach is to support the person's choice while reducing risk where possible, document the discussion, and involve your supervisor.</w:t>
      </w:r>
    </w:p>
    <w:p>
      <w:pPr>
        <w:pStyle w:val="Heading2"/>
        <w:spacing w:after="140" w:before="280"/>
      </w:pPr>
      <w:r>
        <w:t xml:space="preserve">Mandatory reporting</w:t>
      </w:r>
    </w:p>
    <w:p>
      <w:pPr>
        <w:spacing w:after="160"/>
      </w:pPr>
      <w:r>
        <w:t xml:space="preserve">Mandatory reporting obligations require specified people to report suspected abuse or neglect. The details vary between states and territories and between sectors. Child protection reporting obligations, aged care serious incident reporting and NDIS reportable incidents all have their own rules.</w:t>
      </w:r>
    </w:p>
    <w:p>
      <w:pPr>
        <w:spacing w:after="160"/>
      </w:pPr>
      <w:r>
        <w:t xml:space="preserve">You should know who to report to in your organisation, and understand that you can still report to the relevant authority yourself.</w:t>
      </w:r>
    </w:p>
    <w:p>
      <w:pPr>
        <w:spacing w:after="160"/>
      </w:pPr>
      <w:r>
        <w:t xml:space="preserve">Important points regarding children:</w:t>
      </w:r>
    </w:p>
    <w:p>
      <w:pPr>
        <w:pStyle w:val="ListParagraph"/>
        <w:numPr>
          <w:ilvl w:val="0"/>
          <w:numId w:val="1"/>
        </w:numPr>
        <w:spacing w:after="80"/>
      </w:pPr>
      <w:r>
        <w:t xml:space="preserve">You owe a duty of care to a child even when the child is not your client</w:t>
      </w:r>
    </w:p>
    <w:p>
      <w:pPr>
        <w:pStyle w:val="ListParagraph"/>
        <w:numPr>
          <w:ilvl w:val="0"/>
          <w:numId w:val="1"/>
        </w:numPr>
        <w:spacing w:after="80"/>
      </w:pPr>
      <w:r>
        <w:t xml:space="preserve">An adult client may disclose harm to a child</w:t>
      </w:r>
    </w:p>
    <w:p>
      <w:pPr>
        <w:pStyle w:val="ListParagraph"/>
        <w:numPr>
          <w:ilvl w:val="0"/>
          <w:numId w:val="1"/>
        </w:numPr>
        <w:spacing w:after="80"/>
      </w:pPr>
      <w:r>
        <w:t xml:space="preserve">You should not investigate; you should report</w:t>
      </w:r>
    </w:p>
    <w:p>
      <w:pPr>
        <w:pStyle w:val="Heading2"/>
        <w:spacing w:after="140" w:before="280"/>
      </w:pPr>
      <w:r>
        <w:t xml:space="preserve">Informed consent</w:t>
      </w:r>
    </w:p>
    <w:p>
      <w:pPr>
        <w:spacing w:after="160"/>
      </w:pPr>
      <w:r>
        <w:t xml:space="preserve">Informed consent means a person agrees to something after receiving information they understand, without pressure, and with capacity to decide. Consent may be withdrawn at any time.</w:t>
      </w:r>
    </w:p>
    <w:p>
      <w:pPr>
        <w:pStyle w:val="Heading2"/>
        <w:spacing w:after="140" w:before="280"/>
      </w:pPr>
      <w:r>
        <w:t xml:space="preserve">Interpreters and translation</w:t>
      </w:r>
    </w:p>
    <w:p>
      <w:pPr>
        <w:spacing w:after="160"/>
      </w:pPr>
      <w:r>
        <w:t xml:space="preserve">If a person's English is limited, use an accredited interpreter rather than a family member wherever possible. Family members may filter or change information, and the client may not wish to disclose personal matters in front of relatives.</w:t>
      </w:r>
    </w:p>
    <w:p>
      <w:pPr>
        <w:pStyle w:val="Heading2"/>
        <w:spacing w:after="140" w:before="280"/>
      </w:pPr>
      <w:r>
        <w:t xml:space="preserve">Work role boundaries</w:t>
      </w:r>
    </w:p>
    <w:p>
      <w:pPr>
        <w:spacing w:after="160"/>
      </w:pPr>
      <w:r>
        <w:t xml:space="preserve">Your role has limits. Working outside them can cause harm.</w:t>
      </w:r>
    </w:p>
    <w:p>
      <w:pPr>
        <w:spacing w:after="160"/>
      </w:pPr>
      <w:r>
        <w:t xml:space="preserve">Examples of boundary issues include giving medical or legal advice, lending or borrowing money, accepting gifts, becoming friends on social media, and providing unpaid support outside work hours.</w:t>
      </w:r>
    </w:p>
    <w:p>
      <w:pPr>
        <w:pStyle w:val="Heading2"/>
        <w:spacing w:after="140" w:before="280"/>
      </w:pPr>
      <w:r>
        <w:t xml:space="preserve">Ethical decision making and conflicts of interest</w:t>
      </w:r>
    </w:p>
    <w:p>
      <w:pPr>
        <w:spacing w:after="160"/>
      </w:pPr>
      <w:r>
        <w:t xml:space="preserve">Ethical decisions are those where there is no clearly correct answer. A useful process is to identify the issue, check the relevant policy and law, consider who is affected, consider options, seek advice, act, document and review.</w:t>
      </w:r>
    </w:p>
    <w:p>
      <w:pPr>
        <w:spacing w:after="160"/>
      </w:pPr>
      <w:r>
        <w:t xml:space="preserve">A conflict of interest occurs when your personal interests could influence your work decisions. Conflicts should be declared, not hidden.</w:t>
      </w:r>
    </w:p>
    <w:p>
      <w:pPr>
        <w:pStyle w:val="Heading2"/>
        <w:spacing w:after="140" w:before="280"/>
      </w:pPr>
      <w:r>
        <w:t xml:space="preserve">Escalating breaches and unresolved conflict</w:t>
      </w:r>
    </w:p>
    <w:p>
      <w:pPr>
        <w:spacing w:after="160"/>
      </w:pPr>
      <w:r>
        <w:t xml:space="preserve">If you become aware of a breach of law, policy or ethics, you should raise it. Follow your organisation's procedure. This usually means reporting to your supervisor first, and to a more senior person if the supervisor is involved in the issue.</w:t>
      </w:r>
    </w:p>
    <w:p>
      <w:pPr>
        <w:pStyle w:val="Heading2"/>
        <w:spacing w:after="140" w:before="280"/>
      </w:pPr>
      <w:r>
        <w:t xml:space="preserve">Check your understanding</w:t>
      </w:r>
    </w:p>
    <w:p>
      <w:pPr>
        <w:spacing w:after="160"/>
      </w:pPr>
      <w:r>
        <w:rPr>
          <w:b/>
          <w:bCs/>
        </w:rPr>
        <w:t xml:space="preserve">Question 1.</w:t>
      </w:r>
      <w:r>
        <w:t xml:space="preserve"> A home care client tells you her adult son takes her pension card and she is often left without money for food. What should you do?</w:t>
      </w:r>
    </w:p>
    <w:p>
      <w:pPr>
        <w:spacing w:after="160"/>
      </w:pPr>
      <w:r>
        <w:t xml:space="preserve">A. Speak with the son to resolve the situation</w:t>
      </w:r>
    </w:p>
    <w:p>
      <w:pPr>
        <w:spacing w:after="160"/>
      </w:pPr>
      <w:r>
        <w:t xml:space="preserve">B. Record it in your notes and take no further action</w:t>
      </w:r>
    </w:p>
    <w:p>
      <w:pPr>
        <w:spacing w:after="160"/>
      </w:pPr>
      <w:r>
        <w:t xml:space="preserve">C. Report the disclosure to your supervisor and follow your organisation's procedure</w:t>
      </w:r>
    </w:p>
    <w:p>
      <w:pPr>
        <w:spacing w:after="160"/>
      </w:pPr>
      <w:r>
        <w:t xml:space="preserve">D. Advise the client to contact the police herself</w:t>
      </w:r>
    </w:p>
    <w:p>
      <w:pPr>
        <w:spacing w:after="160"/>
      </w:pPr>
      <w:r>
        <w:rPr>
          <w:b/>
          <w:bCs/>
        </w:rPr>
        <w:t xml:space="preserve">Question 2.</w:t>
      </w:r>
      <w:r>
        <w:t xml:space="preserve"> A client with limited English attends an appointment with his daughter, who offers to interpret. What is best practice?</w:t>
      </w:r>
    </w:p>
    <w:p>
      <w:pPr>
        <w:spacing w:after="160"/>
      </w:pPr>
      <w:r>
        <w:t xml:space="preserve">A. Accept the daughter's offer as she knows him best</w:t>
      </w:r>
    </w:p>
    <w:p>
      <w:pPr>
        <w:spacing w:after="160"/>
      </w:pPr>
      <w:r>
        <w:t xml:space="preserve">B. Arrange an accredited interpreter and explain why</w:t>
      </w:r>
    </w:p>
    <w:p>
      <w:pPr>
        <w:spacing w:after="160"/>
      </w:pPr>
      <w:r>
        <w:t xml:space="preserve">C. Use written English materials instead</w:t>
      </w:r>
    </w:p>
    <w:p>
      <w:pPr>
        <w:spacing w:after="160"/>
      </w:pPr>
      <w:r>
        <w:t xml:space="preserve">D. Reschedule the appointment until he improves his English</w:t>
      </w:r>
    </w:p>
    <w:p>
      <w:pPr>
        <w:pStyle w:val="Heading1"/>
        <w:pageBreakBefore/>
        <w:spacing w:after="200" w:before="0"/>
      </w:pPr>
      <w:r>
        <w:t xml:space="preserve">Module 5: Documentation, digital media and continuous improvement</w:t>
      </w:r>
    </w:p>
    <w:p>
      <w:pPr>
        <w:pStyle w:val="Heading2"/>
        <w:spacing w:after="140" w:before="280"/>
      </w:pPr>
      <w:r>
        <w:t xml:space="preserve">Introduction</w:t>
      </w:r>
    </w:p>
    <w:p>
      <w:pPr>
        <w:spacing w:after="160"/>
      </w:pPr>
      <w:r>
        <w:t xml:space="preserve">If it is not written down, it did not happen. Documentation is how information moves through a service, how care is coordinated, and how organisations demonstrate the quality and safety of their work. This module also covers digital media use and your role in improving the service.</w:t>
      </w:r>
    </w:p>
    <w:p>
      <w:pPr>
        <w:pStyle w:val="Heading2"/>
        <w:spacing w:after="140" w:before="280"/>
      </w:pPr>
      <w:r>
        <w:t xml:space="preserve">Objective and factual documentation</w:t>
      </w:r>
    </w:p>
    <w:p>
      <w:pPr>
        <w:spacing w:after="160"/>
      </w:pPr>
      <w:r>
        <w:t xml:space="preserve">Documentation must record what you saw, heard and did — not what you assumed or concluded.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EFEFEF" w:val="clear"/>
            <w:tcMar>
              <w:top w:type="dxa" w:w="80"/>
              <w:left w:type="dxa" w:w="120"/>
              <w:bottom w:type="dxa" w:w="80"/>
              <w:right w:type="dxa" w:w="120"/>
            </w:tcMar>
          </w:tcPr>
          <w:p>
            <w:r>
              <w:rPr>
                <w:b/>
                <w:bCs/>
              </w:rPr>
              <w:t xml:space="preserve">Subjective</w:t>
            </w:r>
          </w:p>
        </w:tc>
        <w:tc>
          <w:tcPr>
            <w:tcW w:type="dxa" w:w="4680"/>
            <w:shd w:fill="EFEFEF" w:val="clear"/>
            <w:tcMar>
              <w:top w:type="dxa" w:w="80"/>
              <w:left w:type="dxa" w:w="120"/>
              <w:bottom w:type="dxa" w:w="80"/>
              <w:right w:type="dxa" w:w="120"/>
            </w:tcMar>
          </w:tcPr>
          <w:p>
            <w:r>
              <w:rPr>
                <w:b/>
                <w:bCs/>
              </w:rPr>
              <w:t xml:space="preserve">Objective</w:t>
            </w:r>
          </w:p>
        </w:tc>
      </w:tr>
      <w:tr>
        <w:trPr>
          <w:tblHeader w:val="false"/>
        </w:trPr>
        <w:tc>
          <w:tcPr>
            <w:tcW w:type="dxa" w:w="4680"/>
            <w:tcMar>
              <w:top w:type="dxa" w:w="80"/>
              <w:left w:type="dxa" w:w="120"/>
              <w:bottom w:type="dxa" w:w="80"/>
              <w:right w:type="dxa" w:w="120"/>
            </w:tcMar>
          </w:tcPr>
          <w:p>
            <w:r>
              <w:t xml:space="preserve">Mr Dias was aggressive</w:t>
            </w:r>
          </w:p>
        </w:tc>
        <w:tc>
          <w:tcPr>
            <w:tcW w:type="dxa" w:w="4680"/>
            <w:tcMar>
              <w:top w:type="dxa" w:w="80"/>
              <w:left w:type="dxa" w:w="120"/>
              <w:bottom w:type="dxa" w:w="80"/>
              <w:right w:type="dxa" w:w="120"/>
            </w:tcMar>
          </w:tcPr>
          <w:p>
            <w:r>
              <w:t xml:space="preserve">Mr Dias raised his voice and pushed his chair back</w:t>
            </w:r>
          </w:p>
        </w:tc>
      </w:tr>
      <w:tr>
        <w:trPr>
          <w:tblHeader w:val="false"/>
        </w:trPr>
        <w:tc>
          <w:tcPr>
            <w:tcW w:type="dxa" w:w="4680"/>
            <w:tcMar>
              <w:top w:type="dxa" w:w="80"/>
              <w:left w:type="dxa" w:w="120"/>
              <w:bottom w:type="dxa" w:w="80"/>
              <w:right w:type="dxa" w:w="120"/>
            </w:tcMar>
          </w:tcPr>
          <w:p>
            <w:r>
              <w:t xml:space="preserve">Client was depressed</w:t>
            </w:r>
          </w:p>
        </w:tc>
        <w:tc>
          <w:tcPr>
            <w:tcW w:type="dxa" w:w="4680"/>
            <w:tcMar>
              <w:top w:type="dxa" w:w="80"/>
              <w:left w:type="dxa" w:w="120"/>
              <w:bottom w:type="dxa" w:w="80"/>
              <w:right w:type="dxa" w:w="120"/>
            </w:tcMar>
          </w:tcPr>
          <w:p>
            <w:r>
              <w:t xml:space="preserve">Client stated "I don't see the point any more" and declined lunch</w:t>
            </w:r>
          </w:p>
        </w:tc>
      </w:tr>
      <w:tr>
        <w:trPr>
          <w:tblHeader w:val="false"/>
        </w:trPr>
        <w:tc>
          <w:tcPr>
            <w:tcW w:type="dxa" w:w="4680"/>
            <w:tcMar>
              <w:top w:type="dxa" w:w="80"/>
              <w:left w:type="dxa" w:w="120"/>
              <w:bottom w:type="dxa" w:w="80"/>
              <w:right w:type="dxa" w:w="120"/>
            </w:tcMar>
          </w:tcPr>
          <w:p>
            <w:r>
              <w:t xml:space="preserve">Family were difficult</w:t>
            </w:r>
          </w:p>
        </w:tc>
        <w:tc>
          <w:tcPr>
            <w:tcW w:type="dxa" w:w="4680"/>
            <w:tcMar>
              <w:top w:type="dxa" w:w="80"/>
              <w:left w:type="dxa" w:w="120"/>
              <w:bottom w:type="dxa" w:w="80"/>
              <w:right w:type="dxa" w:w="120"/>
            </w:tcMar>
          </w:tcPr>
          <w:p>
            <w:r>
              <w:t xml:space="preserve">Daughter asked to speak with the manager three times</w:t>
            </w:r>
          </w:p>
        </w:tc>
      </w:tr>
    </w:tbl>
    <w:p>
      <w:pPr>
        <w:spacing w:after="160"/>
      </w:pPr>
    </w:p>
    <w:p>
      <w:pPr>
        <w:spacing w:after="160"/>
      </w:pPr>
      <w:r>
        <w:t xml:space="preserve">Good documentation is accurate, timely, complete, legible, signed and dated, and written in plain professional language. Errors should be corrected in line with your organisation's policy, not erased or covered over.</w:t>
      </w:r>
    </w:p>
    <w:p>
      <w:pPr>
        <w:pStyle w:val="Heading2"/>
        <w:spacing w:after="140" w:before="280"/>
      </w:pPr>
      <w:r>
        <w:t xml:space="preserve">Reading and interpreting workplace documents</w:t>
      </w:r>
    </w:p>
    <w:p>
      <w:pPr>
        <w:spacing w:after="160"/>
      </w:pPr>
      <w:r>
        <w:t xml:space="preserve">You will need to read care plans, support plans, risk assessments, behaviour support plans, policies and procedures, rosters, handover sheets, incident reports and safety data sheets.</w:t>
      </w:r>
    </w:p>
    <w:p>
      <w:pPr>
        <w:spacing w:after="160"/>
      </w:pPr>
      <w:r>
        <w:t xml:space="preserve">If you do not understand a document, ask. Acting on a misread instruction can cause harm.</w:t>
      </w:r>
    </w:p>
    <w:p>
      <w:pPr>
        <w:pStyle w:val="Heading2"/>
        <w:spacing w:after="140" w:before="280"/>
      </w:pPr>
      <w:r>
        <w:t xml:space="preserve">Electronic records</w:t>
      </w:r>
    </w:p>
    <w:p>
      <w:pPr>
        <w:spacing w:after="160"/>
      </w:pPr>
      <w:r>
        <w:t xml:space="preserve">Most Australian services now use electronic record systems. Rules commonly include never sharing your login, logging out when you leave the device, entering notes promptly, and not taking photographs on personal devices.</w:t>
      </w:r>
    </w:p>
    <w:p>
      <w:pPr>
        <w:pStyle w:val="Heading2"/>
        <w:spacing w:after="140" w:before="280"/>
      </w:pPr>
      <w:r>
        <w:t xml:space="preserve">Digital media and social media</w:t>
      </w:r>
    </w:p>
    <w:p>
      <w:pPr>
        <w:spacing w:after="160"/>
      </w:pPr>
      <w:r>
        <w:t xml:space="preserve">Organisations have policies covering the use of email, messaging applications, intranets and social media.</w:t>
      </w:r>
    </w:p>
    <w:p>
      <w:pPr>
        <w:spacing w:after="160"/>
      </w:pPr>
      <w:r>
        <w:t xml:space="preserve">Risks associated with social media include:</w:t>
      </w:r>
    </w:p>
    <w:p>
      <w:pPr>
        <w:pStyle w:val="ListParagraph"/>
        <w:numPr>
          <w:ilvl w:val="0"/>
          <w:numId w:val="1"/>
        </w:numPr>
        <w:spacing w:after="80"/>
      </w:pPr>
      <w:r>
        <w:t xml:space="preserve">Identifying a client or their family, even without a name</w:t>
      </w:r>
    </w:p>
    <w:p>
      <w:pPr>
        <w:pStyle w:val="ListParagraph"/>
        <w:numPr>
          <w:ilvl w:val="0"/>
          <w:numId w:val="1"/>
        </w:numPr>
        <w:spacing w:after="80"/>
      </w:pPr>
      <w:r>
        <w:t xml:space="preserve">Photographs taken in the workplace</w:t>
      </w:r>
    </w:p>
    <w:p>
      <w:pPr>
        <w:pStyle w:val="ListParagraph"/>
        <w:numPr>
          <w:ilvl w:val="0"/>
          <w:numId w:val="1"/>
        </w:numPr>
        <w:spacing w:after="80"/>
      </w:pPr>
      <w:r>
        <w:t xml:space="preserve">Comments about your employer</w:t>
      </w:r>
    </w:p>
    <w:p>
      <w:pPr>
        <w:pStyle w:val="ListParagraph"/>
        <w:numPr>
          <w:ilvl w:val="0"/>
          <w:numId w:val="1"/>
        </w:numPr>
        <w:spacing w:after="80"/>
      </w:pPr>
      <w:r>
        <w:t xml:space="preserve">Accepting friend requests from clients</w:t>
      </w:r>
    </w:p>
    <w:p>
      <w:pPr>
        <w:pStyle w:val="ListParagraph"/>
        <w:numPr>
          <w:ilvl w:val="0"/>
          <w:numId w:val="1"/>
        </w:numPr>
        <w:spacing w:after="80"/>
      </w:pPr>
      <w:r>
        <w:t xml:space="preserve">Location tagging</w:t>
      </w:r>
    </w:p>
    <w:p>
      <w:pPr>
        <w:spacing w:after="160"/>
      </w:pPr>
      <w:r>
        <w:t xml:space="preserve">Assume anything posted online is permanent and public.</w:t>
      </w:r>
    </w:p>
    <w:p>
      <w:pPr>
        <w:pStyle w:val="Heading2"/>
        <w:spacing w:after="140" w:before="280"/>
      </w:pPr>
      <w:r>
        <w:t xml:space="preserve">Contributing to continuous improvement</w:t>
      </w:r>
    </w:p>
    <w:p>
      <w:pPr>
        <w:spacing w:after="160"/>
      </w:pPr>
      <w:r>
        <w:t xml:space="preserve">Continuous improvement means constantly looking for better ways of working. You contribute by reporting hazards and incidents, offering suggestions, participating in meetings and audits, and passing on client feedback and complaints.</w:t>
      </w:r>
    </w:p>
    <w:p>
      <w:pPr>
        <w:spacing w:after="160"/>
      </w:pPr>
      <w:r>
        <w:t xml:space="preserve">Complaints are a source of information, not an attack.</w:t>
      </w:r>
    </w:p>
    <w:p>
      <w:pPr>
        <w:pStyle w:val="Heading2"/>
        <w:spacing w:after="140" w:before="280"/>
      </w:pPr>
      <w:r>
        <w:t xml:space="preserve">Seeking feedback and developing your skills</w:t>
      </w:r>
    </w:p>
    <w:p>
      <w:pPr>
        <w:spacing w:after="160"/>
      </w:pPr>
      <w:r>
        <w:t xml:space="preserve">Feedback helps you improve. You can seek it from supervisors, colleagues and clients. Receiving feedback well means listening, not becoming defensive, asking for examples, and agreeing on changes.</w:t>
      </w:r>
    </w:p>
    <w:p>
      <w:pPr>
        <w:spacing w:after="160"/>
      </w:pPr>
      <w:r>
        <w:t xml:space="preserve">Professional development options include supervision, mentoring, in-house training, short courses, further qualifications and reflective practice.</w:t>
      </w:r>
    </w:p>
    <w:p>
      <w:pPr>
        <w:pStyle w:val="Heading2"/>
        <w:spacing w:after="140" w:before="280"/>
      </w:pPr>
      <w:r>
        <w:t xml:space="preserve">Check your understanding</w:t>
      </w:r>
    </w:p>
    <w:p>
      <w:pPr>
        <w:spacing w:after="160"/>
      </w:pPr>
      <w:r>
        <w:rPr>
          <w:b/>
          <w:bCs/>
        </w:rPr>
        <w:t xml:space="preserve">Question 1.</w:t>
      </w:r>
      <w:r>
        <w:t xml:space="preserve"> Which of the following progress note entries is written objectively?</w:t>
      </w:r>
    </w:p>
    <w:p>
      <w:pPr>
        <w:spacing w:after="160"/>
      </w:pPr>
      <w:r>
        <w:t xml:space="preserve">A. Mrs Lang was in a bad mood all morning</w:t>
      </w:r>
    </w:p>
    <w:p>
      <w:pPr>
        <w:spacing w:after="160"/>
      </w:pPr>
      <w:r>
        <w:t xml:space="preserve">B. Mrs Lang refused breakfast and stated "leave me alone", and remained in bed until 11am</w:t>
      </w:r>
    </w:p>
    <w:p>
      <w:pPr>
        <w:spacing w:after="160"/>
      </w:pPr>
      <w:r>
        <w:t xml:space="preserve">C. Mrs Lang seemed to be depressed and unwilling to cooperate</w:t>
      </w:r>
    </w:p>
    <w:p>
      <w:pPr>
        <w:spacing w:after="160"/>
      </w:pPr>
      <w:r>
        <w:t xml:space="preserve">D. Mrs Lang was her usual difficult self at breakfast</w:t>
      </w:r>
    </w:p>
    <w:p>
      <w:pPr>
        <w:spacing w:after="160"/>
      </w:pPr>
      <w:r>
        <w:rPr>
          <w:b/>
          <w:bCs/>
        </w:rPr>
        <w:t xml:space="preserve">Question 2.</w:t>
      </w:r>
      <w:r>
        <w:t xml:space="preserve"> A support worker posts a photo on social media of a group activity at a day program. No client names are used. What is the main risk?</w:t>
      </w:r>
    </w:p>
    <w:p>
      <w:pPr>
        <w:spacing w:after="160"/>
      </w:pPr>
      <w:r>
        <w:t xml:space="preserve">A. There is no risk because no names were used</w:t>
      </w:r>
    </w:p>
    <w:p>
      <w:pPr>
        <w:spacing w:after="160"/>
      </w:pPr>
      <w:r>
        <w:t xml:space="preserve">B. Clients may be identifiable from the image, which may breach privacy and consent</w:t>
      </w:r>
    </w:p>
    <w:p>
      <w:pPr>
        <w:spacing w:after="160"/>
      </w:pPr>
      <w:r>
        <w:t xml:space="preserve">C. The employer may not like the photo</w:t>
      </w:r>
    </w:p>
    <w:p>
      <w:pPr>
        <w:spacing w:after="160"/>
      </w:pPr>
      <w:r>
        <w:t xml:space="preserve">D. The photo may be of poor quality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11111"/>
      <w:sz w:val="32"/>
      <w:szCs w:val="32"/>
    </w:rPr>
  </w:style>
  <w:style w:type="paragraph" w:styleId="Heading2">
    <w:name w:val="Heading 2"/>
    <w:basedOn w:val="Normal"/>
    <w:next w:val="Normal"/>
    <w:qFormat/>
    <w:rPr>
      <w:rFonts w:ascii="Arial" w:cs="Arial" w:eastAsia="Arial" w:hAnsi="Arial"/>
      <w:b/>
      <w:bCs/>
      <w:color w:val="222222"/>
      <w:sz w:val="26"/>
      <w:szCs w:val="26"/>
    </w:rPr>
  </w:style>
  <w:style w:type="paragraph" w:styleId="Heading3">
    <w:name w:val="Heading 3"/>
    <w:basedOn w:val="Normal"/>
    <w:next w:val="Normal"/>
    <w:qFormat/>
    <w:rPr>
      <w:rFonts w:ascii="Arial" w:cs="Arial" w:eastAsia="Arial" w:hAnsi="Arial"/>
      <w:b/>
      <w:bCs/>
      <w:color w:val="333333"/>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CHCCOM005 Learner Guide (sample)</dc:title>
  <dc:creator>CourseConverter</dc:creator>
  <dc:description>Sample resource for the CourseConverter RTO conversion service. Demonstration only — not a compliant training product.</dc:description>
  <cp:lastModifiedBy>Un-named</cp:lastModifiedBy>
  <cp:revision>1</cp:revision>
  <dcterms:created xsi:type="dcterms:W3CDTF">2026-08-21T12:20:17.669Z</dcterms:created>
  <dcterms:modified xsi:type="dcterms:W3CDTF">2026-08-21T12:20:17.686Z</dcterms:modified>
</cp:coreProperties>
</file>

<file path=docProps/custom.xml><?xml version="1.0" encoding="utf-8"?>
<Properties xmlns="http://schemas.openxmlformats.org/officeDocument/2006/custom-properties" xmlns:vt="http://schemas.openxmlformats.org/officeDocument/2006/docPropsVTypes"/>
</file>